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sz w:val="40"/>
          <w:sz w:val="40"/>
          <w:szCs w:val="40"/>
        </w:rPr>
        <w:t>ระเบียบปฏิบัติเรื่อง  การควบคุม</w:t>
      </w:r>
      <w:r>
        <w:rPr>
          <w:rFonts w:ascii="Angsana New" w:hAnsi="Angsana New" w:cs="Angsana New"/>
          <w:sz w:val="40"/>
          <w:sz w:val="40"/>
          <w:szCs w:val="40"/>
        </w:rPr>
        <w:t>คุณภาพ</w:t>
      </w:r>
      <w:r>
        <w:rPr>
          <w:rFonts w:ascii="Angsana New" w:hAnsi="Angsana New" w:cs="Angsana New"/>
          <w:sz w:val="40"/>
          <w:sz w:val="40"/>
          <w:szCs w:val="40"/>
        </w:rPr>
        <w:t>ผลิตภัณฑ์</w:t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  <w:t>Quality Control Procedure</w:t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sz w:val="40"/>
          <w:sz w:val="40"/>
          <w:szCs w:val="40"/>
        </w:rPr>
        <w:t xml:space="preserve">บริษัท อีควอล แอสชัวแรนซ์ </w:t>
      </w:r>
      <w:r>
        <w:rPr>
          <w:rFonts w:cs="Angsana New" w:ascii="Angsana New" w:hAnsi="Angsana New"/>
          <w:sz w:val="40"/>
          <w:szCs w:val="40"/>
        </w:rPr>
        <w:t>(</w:t>
      </w:r>
      <w:r>
        <w:rPr>
          <w:rFonts w:ascii="Angsana New" w:hAnsi="Angsana New" w:cs="Angsana New"/>
          <w:sz w:val="40"/>
          <w:sz w:val="40"/>
          <w:szCs w:val="40"/>
        </w:rPr>
        <w:t>ประเทศไทย</w:t>
      </w:r>
      <w:r>
        <w:rPr>
          <w:rFonts w:cs="Angsana New" w:ascii="Angsana New" w:hAnsi="Angsana New"/>
          <w:sz w:val="40"/>
          <w:szCs w:val="40"/>
        </w:rPr>
        <w:t xml:space="preserve">) </w:t>
      </w:r>
      <w:r>
        <w:rPr>
          <w:rFonts w:ascii="Angsana New" w:hAnsi="Angsana New" w:cs="Angsana New"/>
          <w:sz w:val="40"/>
          <w:sz w:val="40"/>
          <w:szCs w:val="40"/>
        </w:rPr>
        <w:t>จำกัด</w:t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  <w:t>EQUAL ASSURANCE (THAILAND) LTD.</w:t>
      </w:r>
    </w:p>
    <w:p>
      <w:pPr>
        <w:pStyle w:val="Normal"/>
        <w:rPr>
          <w:rFonts w:ascii="Angsana New" w:hAnsi="Angsana New" w:cs="Angsana New"/>
          <w:sz w:val="40"/>
          <w:szCs w:val="40"/>
        </w:rPr>
      </w:pPr>
      <w:r>
        <w:rPr>
          <w:rFonts w:cs="Angsana New"/>
          <w:sz w:val="40"/>
          <w:szCs w:val="4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0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01"/>
        <w:gridCol w:w="3001"/>
        <w:gridCol w:w="3001"/>
      </w:tblGrid>
      <w:tr>
        <w:trPr/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</w:rPr>
            </w:pPr>
            <w:r>
              <w:rPr>
                <w:sz w:val="28"/>
                <w:sz w:val="28"/>
              </w:rPr>
              <w:t>ผู้จัดทำ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rFonts w:eastAsia="Angsana New"/>
              </w:rPr>
              <w:t>ขยัน  เจริญยิ่ง</w:t>
            </w:r>
            <w:r>
              <w:rPr>
                <w:sz w:val="28"/>
              </w:rPr>
              <w:t>)</w:t>
            </w:r>
          </w:p>
          <w:p>
            <w:pPr>
              <w:pStyle w:val="Normal"/>
              <w:jc w:val="center"/>
              <w:rPr/>
            </w:pPr>
            <w:r>
              <w:rPr/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8"/>
              </w:rPr>
            </w:pPr>
            <w:r>
              <w:rPr>
                <w:sz w:val="28"/>
                <w:sz w:val="28"/>
              </w:rPr>
              <w:t>ผู้ทบทวน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rFonts w:eastAsia="Angsana New"/>
              </w:rPr>
              <w:t>ขยัน  เจริญยิ่ง</w:t>
            </w:r>
            <w:r>
              <w:rPr>
                <w:sz w:val="28"/>
              </w:rPr>
              <w:t>)</w:t>
            </w:r>
          </w:p>
          <w:p>
            <w:pPr>
              <w:pStyle w:val="Normal"/>
              <w:jc w:val="center"/>
              <w:rPr/>
            </w:pPr>
            <w:r>
              <w:rPr/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8"/>
              </w:rPr>
            </w:pPr>
            <w:r>
              <w:rPr>
                <w:sz w:val="28"/>
                <w:sz w:val="28"/>
              </w:rPr>
              <w:t>ผู้อนุมัติ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</w:t>
            </w:r>
          </w:p>
          <w:p>
            <w:pPr>
              <w:pStyle w:val="Normal"/>
              <w:rPr/>
            </w:pPr>
            <w:r>
              <w:rPr>
                <w:rFonts w:eastAsia="Angsana New"/>
              </w:rPr>
              <w:t xml:space="preserve">            </w:t>
            </w:r>
            <w:r>
              <w:rPr>
                <w:sz w:val="28"/>
              </w:rPr>
              <w:t>(</w:t>
            </w:r>
            <w:r>
              <w:rPr>
                <w:b/>
                <w:b/>
              </w:rPr>
              <w:t>มานะ</w:t>
            </w:r>
            <w:r>
              <w:rPr>
                <w:rFonts w:eastAsia="Angsana New"/>
              </w:rPr>
              <w:t xml:space="preserve">  เจริญยิ่ง</w:t>
            </w:r>
            <w:r>
              <w:rPr>
                <w:sz w:val="28"/>
              </w:rPr>
              <w:t>)</w:t>
            </w:r>
            <w:r>
              <w:rPr/>
              <w:t xml:space="preserve">                    </w:t>
            </w:r>
            <w:r>
              <w:rPr/>
              <w:t xml:space="preserve"> </w:t>
            </w:r>
            <w:r>
              <w:rPr/>
              <w:t xml:space="preserve"> </w:t>
            </w:r>
            <w:r>
              <w:rPr/>
              <w:t xml:space="preserve">                      </w:t>
            </w:r>
          </w:p>
          <w:p>
            <w:pPr>
              <w:pStyle w:val="Normal"/>
              <w:rPr/>
            </w:pPr>
            <w:r>
              <w:rPr>
                <w:rFonts w:eastAsia="Angsana New"/>
              </w:rPr>
              <w:t xml:space="preserve">                </w:t>
            </w:r>
            <w:r>
              <w:rPr/>
              <w:t>...... / ......... /......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bCs w:val="false"/>
          <w:sz w:val="72"/>
          <w:szCs w:val="72"/>
        </w:rPr>
      </w:pPr>
      <w:r>
        <w:rPr>
          <w:b/>
          <w:bCs w:val="false"/>
          <w:sz w:val="72"/>
          <w:szCs w:val="72"/>
        </w:rPr>
      </w:r>
    </w:p>
    <w:p>
      <w:pPr>
        <w:pStyle w:val="ListParagraph"/>
        <w:numPr>
          <w:ilvl w:val="0"/>
          <w:numId w:val="2"/>
        </w:numPr>
        <w:ind w:hanging="284"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/>
          <w:bCs/>
          <w:sz w:val="32"/>
          <w:sz w:val="32"/>
          <w:szCs w:val="32"/>
        </w:rPr>
        <w:t>วัตถุประสงค์</w:t>
      </w:r>
    </w:p>
    <w:p>
      <w:pPr>
        <w:pStyle w:val="ListParagraph"/>
        <w:ind w:start="284" w:end="0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  <w:sz w:val="28"/>
        </w:rPr>
        <w:t>คู่มือขั้นตอนการปฏิบัติงานฉบับนี้จัดทำขึ้นเพื่อใช้ในการควบคุม และตรวจสอบวัตถุดิบ รวมถึงผลิตภัณฑ์ที่เกิดขึ้นทั้งระหว่างกระบวนการ และผลิตภัณฑ์สำเร็จรูป เพื่อให้ได้ผลิตภัณฑ์ที่มีคุณภาพ และตรงตามความต้องการของลูกค้า</w:t>
      </w:r>
    </w:p>
    <w:p>
      <w:pPr>
        <w:pStyle w:val="ListParagraph"/>
        <w:numPr>
          <w:ilvl w:val="0"/>
          <w:numId w:val="2"/>
        </w:numPr>
        <w:ind w:hanging="284"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/>
          <w:bCs/>
          <w:sz w:val="32"/>
          <w:sz w:val="32"/>
          <w:szCs w:val="32"/>
        </w:rPr>
        <w:t>ขอบเขต</w:t>
      </w:r>
    </w:p>
    <w:p>
      <w:pPr>
        <w:pStyle w:val="ListParagraph"/>
        <w:ind w:start="284" w:end="0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  <w:sz w:val="28"/>
        </w:rPr>
        <w:t>ครอบคลุมขั้นตอนในการตรวจสอบวัตถุดิบที่รับเข้า</w:t>
      </w:r>
      <w:r>
        <w:rPr>
          <w:rFonts w:cs="Angsana New" w:ascii="Angsana New" w:hAnsi="Angsana New"/>
          <w:sz w:val="28"/>
        </w:rPr>
        <w:t xml:space="preserve">, </w:t>
      </w:r>
      <w:r>
        <w:rPr>
          <w:rFonts w:ascii="Angsana New" w:hAnsi="Angsana New" w:cs="Angsana New"/>
          <w:sz w:val="28"/>
          <w:sz w:val="28"/>
        </w:rPr>
        <w:t>การตรวจสอบผลิตภัณฑ์ระหว่างกระบวนการ</w:t>
      </w:r>
      <w:r>
        <w:rPr>
          <w:rFonts w:cs="Angsana New" w:ascii="Angsana New" w:hAnsi="Angsana New"/>
          <w:sz w:val="28"/>
        </w:rPr>
        <w:t xml:space="preserve">, </w:t>
      </w:r>
      <w:r>
        <w:rPr>
          <w:rFonts w:ascii="Angsana New" w:hAnsi="Angsana New" w:cs="Angsana New"/>
          <w:sz w:val="28"/>
          <w:sz w:val="28"/>
        </w:rPr>
        <w:t>การตรวจสอบผลิตภัณฑ์ขั้นสุดท้าย</w:t>
      </w:r>
      <w:r>
        <w:rPr>
          <w:rFonts w:cs="Angsana New" w:ascii="Angsana New" w:hAnsi="Angsana New"/>
          <w:sz w:val="28"/>
        </w:rPr>
        <w:t xml:space="preserve">, </w:t>
      </w:r>
      <w:r>
        <w:rPr>
          <w:rFonts w:ascii="Angsana New" w:hAnsi="Angsana New" w:cs="Angsana New"/>
          <w:sz w:val="28"/>
          <w:sz w:val="28"/>
        </w:rPr>
        <w:t>การบันทึกผลการตรวจสอบ และการดำเนินการสำหรับผลิตภัณฑ์ที่ไม่เป็นไปตามข้อกำหนด</w:t>
      </w:r>
    </w:p>
    <w:p>
      <w:pPr>
        <w:pStyle w:val="ListParagraph"/>
        <w:numPr>
          <w:ilvl w:val="0"/>
          <w:numId w:val="2"/>
        </w:numPr>
        <w:ind w:hanging="284"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/>
          <w:bCs/>
          <w:sz w:val="32"/>
          <w:sz w:val="32"/>
          <w:szCs w:val="32"/>
        </w:rPr>
        <w:t>คำจำกัดความ</w:t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  <w:t xml:space="preserve">Incoming Inspection  </w:t>
      </w:r>
      <w:r>
        <w:rPr>
          <w:rFonts w:ascii="Angsana New" w:hAnsi="Angsana New" w:cs="Angsana New"/>
          <w:sz w:val="28"/>
          <w:sz w:val="28"/>
        </w:rPr>
        <w:t>หมายถึง  การตรวจสอบวัตถุดิบ หรือผลิตภัณฑ์ที่มีการรับเข้า</w:t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  <w:t xml:space="preserve">Inprocess Inspection  </w:t>
      </w:r>
      <w:r>
        <w:rPr>
          <w:rFonts w:ascii="Angsana New" w:hAnsi="Angsana New" w:cs="Angsana New"/>
          <w:sz w:val="28"/>
          <w:sz w:val="28"/>
        </w:rPr>
        <w:t>หมายถึง  การตรวจสอบผลิตภัณฑ์ระหว่างกระบวนการผลิต</w:t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  <w:t xml:space="preserve">Final Inspection  </w:t>
      </w:r>
      <w:r>
        <w:rPr>
          <w:rFonts w:ascii="Angsana New" w:hAnsi="Angsana New" w:cs="Angsana New"/>
          <w:sz w:val="28"/>
          <w:sz w:val="28"/>
        </w:rPr>
        <w:t xml:space="preserve">หมายถึง </w:t>
      </w:r>
      <w:r>
        <w:rPr>
          <w:rFonts w:ascii="Angsana New" w:hAnsi="Angsana New" w:cs="Angsana New"/>
          <w:sz w:val="28"/>
          <w:sz w:val="28"/>
        </w:rPr>
        <w:t xml:space="preserve"> </w:t>
      </w:r>
      <w:r>
        <w:rPr>
          <w:rFonts w:ascii="Angsana New" w:hAnsi="Angsana New" w:cs="Angsana New"/>
          <w:sz w:val="28"/>
          <w:sz w:val="28"/>
        </w:rPr>
        <w:t>การตรวจสอบผลิตภัณฑ์ขั้นสุดท้าย</w:t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  <w:t>Nonconforming (NC)  หมายถึง  ผลิตภัณฑ์ที่ไม่เป็นไปตามข้อกำหนด</w:t>
      </w:r>
      <w:r>
        <w:rPr>
          <w:rFonts w:ascii="Angsana New" w:hAnsi="Angsana New" w:cs="Angsana New"/>
          <w:sz w:val="28"/>
          <w:sz w:val="28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ind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numPr>
          <w:ilvl w:val="0"/>
          <w:numId w:val="2"/>
        </w:numPr>
        <w:ind w:hanging="284"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/>
          <w:bCs/>
          <w:sz w:val="32"/>
          <w:sz w:val="32"/>
          <w:szCs w:val="32"/>
        </w:rPr>
        <w:t>ระเบียบการปฏิบัติงาน</w:t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  <w:sz w:val="28"/>
        </w:rPr>
        <w:t xml:space="preserve">การตรวจสอบวัตถุดิบ และผลิตภัณฑ์ที่รับเข้า </w:t>
      </w:r>
      <w:r>
        <w:rPr>
          <w:rFonts w:cs="Angsana New" w:ascii="Angsana New" w:hAnsi="Angsana New"/>
          <w:sz w:val="28"/>
        </w:rPr>
        <w:t>(In-coning Inspection)</w:t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/>
        <w:object w:dxaOrig="12787" w:dyaOrig="11802"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83.95pt;height:446.15pt" filled="f" o:ole="">
            <v:imagedata r:id="rId3" o:title=""/>
          </v:shape>
          <o:OLEObject Type="Embed" ProgID="" ShapeID="ole_rId2" DrawAspect="Content" ObjectID="_886018896" r:id="rId2"/>
        </w:object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  <w:sz w:val="28"/>
        </w:rPr>
        <w:t>การตรวจสอบผลิตภัณฑ์ระหว่างกระบวนการผลิต</w:t>
      </w:r>
      <w:r>
        <w:rPr>
          <w:rFonts w:ascii="Angsana New" w:hAnsi="Angsana New" w:cs="Angsana New"/>
          <w:sz w:val="28"/>
          <w:sz w:val="28"/>
        </w:rPr>
        <w:t xml:space="preserve"> </w:t>
      </w:r>
      <w:r>
        <w:rPr>
          <w:rFonts w:cs="Angsana New" w:ascii="Angsana New" w:hAnsi="Angsana New"/>
          <w:sz w:val="28"/>
        </w:rPr>
        <w:t>(In-process Inspection)</w:t>
      </w:r>
    </w:p>
    <w:p>
      <w:pPr>
        <w:pStyle w:val="ListParagraph"/>
        <w:ind w:start="284" w:end="0"/>
        <w:rPr>
          <w:rFonts w:ascii="Angsana New" w:hAnsi="Angsana New" w:cs="Angsana New"/>
          <w:sz w:val="28"/>
        </w:rPr>
      </w:pPr>
      <w:r>
        <w:rPr/>
        <w:object w:dxaOrig="12787" w:dyaOrig="14012">
          <v:shapetype id="_x0000_tole_rId4" coordsize="21600,21600" o:spt="ole_rId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" type="_x0000_tole_rId4" style="width:481.25pt;height:527.9pt" filled="f" o:ole="">
            <v:imagedata r:id="rId5" o:title=""/>
          </v:shape>
          <o:OLEObject Type="Embed" ProgID="" ShapeID="ole_rId4" DrawAspect="Content" ObjectID="_1930849223" r:id="rId4"/>
        </w:object>
      </w:r>
    </w:p>
    <w:p>
      <w:pPr>
        <w:pStyle w:val="ListParagraph"/>
        <w:ind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ind w:start="644" w:end="0"/>
        <w:rPr>
          <w:rFonts w:ascii="Angsana New" w:hAnsi="Angsana New" w:cs="Angsana New"/>
          <w:sz w:val="28"/>
        </w:rPr>
      </w:pPr>
      <w:r>
        <w:rPr>
          <w:rFonts w:cs="Angsana New" w:ascii="Angsana New" w:hAnsi="Angsana New"/>
          <w:sz w:val="28"/>
        </w:rPr>
      </w:r>
    </w:p>
    <w:p>
      <w:pPr>
        <w:pStyle w:val="ListParagraph"/>
        <w:numPr>
          <w:ilvl w:val="1"/>
          <w:numId w:val="2"/>
        </w:numPr>
        <w:ind w:hanging="360" w:start="644" w:end="0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  <w:sz w:val="28"/>
        </w:rPr>
        <w:t xml:space="preserve">การตรวจสอบผลิตภัณฑ์ขั้นสุดท้าย </w:t>
      </w:r>
      <w:r>
        <w:rPr>
          <w:rFonts w:cs="Angsana New" w:ascii="Angsana New" w:hAnsi="Angsana New"/>
          <w:sz w:val="28"/>
        </w:rPr>
        <w:t>(Final Inspection)</w:t>
      </w:r>
    </w:p>
    <w:p>
      <w:pPr>
        <w:pStyle w:val="ListParagraph"/>
        <w:ind w:hanging="360" w:start="644" w:end="0"/>
        <w:rPr>
          <w:rFonts w:ascii="Angsana New" w:hAnsi="Angsana New" w:cs="Angsana New"/>
          <w:sz w:val="28"/>
        </w:rPr>
      </w:pPr>
      <w:r>
        <w:rPr/>
        <w:object w:dxaOrig="12787" w:dyaOrig="8033">
          <v:shapetype id="_x0000_tole_rId6" coordsize="21600,21600" o:spt="ole_rId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" type="_x0000_tole_rId6" style="width:486.1pt;height:305.35pt" filled="f" o:ole="">
            <v:imagedata r:id="rId7" o:title=""/>
          </v:shape>
          <o:OLEObject Type="Embed" ProgID="" ShapeID="ole_rId6" DrawAspect="Content" ObjectID="_190205437" r:id="rId6"/>
        </w:object>
      </w:r>
    </w:p>
    <w:p>
      <w:pPr>
        <w:pStyle w:val="ListParagraph"/>
        <w:numPr>
          <w:ilvl w:val="0"/>
          <w:numId w:val="2"/>
        </w:numPr>
        <w:ind w:hanging="284"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/>
          <w:bCs/>
          <w:sz w:val="32"/>
          <w:sz w:val="32"/>
          <w:szCs w:val="32"/>
        </w:rPr>
        <w:t>เอกสารสนับสนุน</w:t>
      </w:r>
    </w:p>
    <w:tbl>
      <w:tblPr>
        <w:tblW w:w="9355" w:type="dxa"/>
        <w:jc w:val="start"/>
        <w:tblInd w:w="39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48"/>
        <w:gridCol w:w="1984"/>
        <w:gridCol w:w="6423"/>
      </w:tblGrid>
      <w:tr>
        <w:trPr/>
        <w:tc>
          <w:tcPr>
            <w:tcW w:w="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ลำดับที่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หมายเลขเอกสาร</w:t>
            </w:r>
          </w:p>
        </w:tc>
        <w:tc>
          <w:tcPr>
            <w:tcW w:w="6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ชื่อเอกสาร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5.1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QP-DC-01</w:t>
            </w:r>
          </w:p>
        </w:tc>
        <w:tc>
          <w:tcPr>
            <w:tcW w:w="6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ascii="Angsana New" w:hAnsi="Angsana New" w:cs="Angsana New"/>
                <w:sz w:val="26"/>
                <w:sz w:val="26"/>
                <w:szCs w:val="26"/>
              </w:rPr>
              <w:t>การควบคุมเอกสาร และบันทึก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5.2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QP-QC-02</w:t>
            </w:r>
          </w:p>
        </w:tc>
        <w:tc>
          <w:tcPr>
            <w:tcW w:w="6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ascii="Angsana New" w:hAnsi="Angsana New" w:cs="Angsana New"/>
                <w:sz w:val="26"/>
                <w:sz w:val="26"/>
                <w:szCs w:val="26"/>
              </w:rPr>
              <w:t>การควบคุมผลิตภัณฑ์ที่ไม่เป็นไปตามข้อกำหนด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5.3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eastAsia="Angsana New" w:cs="Angsana New" w:ascii="Angsana New" w:hAnsi="Angsana New"/>
                <w:sz w:val="26"/>
                <w:szCs w:val="26"/>
              </w:rPr>
              <w:t xml:space="preserve"> </w:t>
            </w:r>
            <w:r>
              <w:rPr>
                <w:rFonts w:cs="Angsana New" w:ascii="Angsana New" w:hAnsi="Angsana New"/>
                <w:sz w:val="26"/>
                <w:szCs w:val="26"/>
              </w:rPr>
              <w:t>-</w:t>
            </w:r>
          </w:p>
        </w:tc>
        <w:tc>
          <w:tcPr>
            <w:tcW w:w="6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Drawing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5.4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FM-QA-P01-04</w:t>
            </w:r>
          </w:p>
        </w:tc>
        <w:tc>
          <w:tcPr>
            <w:tcW w:w="6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Inspection Standard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5.5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FM-QA-P01-06</w:t>
            </w:r>
          </w:p>
        </w:tc>
        <w:tc>
          <w:tcPr>
            <w:tcW w:w="6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Control Plan</w:t>
            </w:r>
          </w:p>
        </w:tc>
      </w:tr>
    </w:tbl>
    <w:p>
      <w:pPr>
        <w:pStyle w:val="ListParagraph"/>
        <w:ind w:start="578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ListParagraph"/>
        <w:numPr>
          <w:ilvl w:val="0"/>
          <w:numId w:val="2"/>
        </w:numPr>
        <w:ind w:hanging="284" w:start="284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/>
          <w:bCs/>
          <w:sz w:val="32"/>
          <w:sz w:val="32"/>
          <w:szCs w:val="32"/>
        </w:rPr>
        <w:t>บันทึก</w:t>
      </w:r>
    </w:p>
    <w:tbl>
      <w:tblPr>
        <w:tblW w:w="9395" w:type="dxa"/>
        <w:jc w:val="start"/>
        <w:tblInd w:w="39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71"/>
        <w:gridCol w:w="2033"/>
        <w:gridCol w:w="3196"/>
        <w:gridCol w:w="1743"/>
        <w:gridCol w:w="1452"/>
      </w:tblGrid>
      <w:tr>
        <w:trPr>
          <w:trHeight w:val="405" w:hRule="atLeast"/>
        </w:trPr>
        <w:tc>
          <w:tcPr>
            <w:tcW w:w="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ลำดับที่</w:t>
            </w:r>
          </w:p>
        </w:tc>
        <w:tc>
          <w:tcPr>
            <w:tcW w:w="20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หมายเลขเอกสาร</w:t>
            </w:r>
          </w:p>
        </w:tc>
        <w:tc>
          <w:tcPr>
            <w:tcW w:w="3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ชื่อเอกสาร</w:t>
            </w:r>
          </w:p>
        </w:tc>
        <w:tc>
          <w:tcPr>
            <w:tcW w:w="17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ระยะเวลาจัดเก็บ</w:t>
            </w:r>
          </w:p>
        </w:tc>
        <w:tc>
          <w:tcPr>
            <w:tcW w:w="14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b/>
                <w:bCs/>
                <w:sz w:val="26"/>
                <w:szCs w:val="26"/>
              </w:rPr>
            </w:pPr>
            <w:r>
              <w:rPr>
                <w:rFonts w:ascii="Angsana New" w:hAnsi="Angsana New" w:cs="Angsana New"/>
                <w:b/>
                <w:b/>
                <w:bCs/>
                <w:sz w:val="26"/>
                <w:sz w:val="26"/>
                <w:szCs w:val="26"/>
              </w:rPr>
              <w:t>วิธีทำลาย</w:t>
            </w:r>
          </w:p>
        </w:tc>
      </w:tr>
      <w:tr>
        <w:trPr>
          <w:trHeight w:val="388" w:hRule="atLeast"/>
        </w:trPr>
        <w:tc>
          <w:tcPr>
            <w:tcW w:w="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6.1</w:t>
            </w:r>
          </w:p>
        </w:tc>
        <w:tc>
          <w:tcPr>
            <w:tcW w:w="20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FM-QA-P02-01</w:t>
            </w:r>
          </w:p>
        </w:tc>
        <w:tc>
          <w:tcPr>
            <w:tcW w:w="3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In-coming Inspection Data</w:t>
            </w:r>
          </w:p>
        </w:tc>
        <w:tc>
          <w:tcPr>
            <w:tcW w:w="17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3</w:t>
            </w:r>
            <w:r>
              <w:rPr>
                <w:rFonts w:cs="Angsana New" w:ascii="Angsana New" w:hAnsi="Angsana New"/>
                <w:sz w:val="26"/>
                <w:szCs w:val="26"/>
              </w:rPr>
              <w:t xml:space="preserve"> </w:t>
            </w:r>
            <w:r>
              <w:rPr>
                <w:rFonts w:ascii="Angsana New" w:hAnsi="Angsana New" w:cs="Angsana New"/>
                <w:sz w:val="26"/>
                <w:sz w:val="26"/>
                <w:szCs w:val="26"/>
              </w:rPr>
              <w:t>ปี</w:t>
            </w:r>
          </w:p>
        </w:tc>
        <w:tc>
          <w:tcPr>
            <w:tcW w:w="14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Recycle</w:t>
            </w:r>
          </w:p>
        </w:tc>
      </w:tr>
      <w:tr>
        <w:trPr>
          <w:trHeight w:val="388" w:hRule="atLeast"/>
        </w:trPr>
        <w:tc>
          <w:tcPr>
            <w:tcW w:w="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6.2</w:t>
            </w:r>
          </w:p>
        </w:tc>
        <w:tc>
          <w:tcPr>
            <w:tcW w:w="20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FM-QA-P02-02</w:t>
            </w:r>
          </w:p>
        </w:tc>
        <w:tc>
          <w:tcPr>
            <w:tcW w:w="3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In-process Inspection Data</w:t>
            </w:r>
          </w:p>
        </w:tc>
        <w:tc>
          <w:tcPr>
            <w:tcW w:w="17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3</w:t>
            </w:r>
            <w:r>
              <w:rPr>
                <w:rFonts w:cs="Angsana New" w:ascii="Angsana New" w:hAnsi="Angsana New"/>
                <w:sz w:val="26"/>
                <w:szCs w:val="26"/>
              </w:rPr>
              <w:t xml:space="preserve"> </w:t>
            </w:r>
            <w:r>
              <w:rPr>
                <w:rFonts w:ascii="Angsana New" w:hAnsi="Angsana New" w:cs="Angsana New"/>
                <w:sz w:val="26"/>
                <w:sz w:val="26"/>
                <w:szCs w:val="26"/>
              </w:rPr>
              <w:t>ปี</w:t>
            </w:r>
          </w:p>
        </w:tc>
        <w:tc>
          <w:tcPr>
            <w:tcW w:w="14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Recycle</w:t>
            </w:r>
          </w:p>
        </w:tc>
      </w:tr>
      <w:tr>
        <w:trPr>
          <w:trHeight w:val="405" w:hRule="atLeast"/>
        </w:trPr>
        <w:tc>
          <w:tcPr>
            <w:tcW w:w="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6.3</w:t>
            </w:r>
          </w:p>
        </w:tc>
        <w:tc>
          <w:tcPr>
            <w:tcW w:w="20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FM-QA-P02-04</w:t>
            </w:r>
          </w:p>
        </w:tc>
        <w:tc>
          <w:tcPr>
            <w:tcW w:w="3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Final Check List</w:t>
            </w:r>
          </w:p>
        </w:tc>
        <w:tc>
          <w:tcPr>
            <w:tcW w:w="17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3</w:t>
            </w:r>
            <w:r>
              <w:rPr>
                <w:rFonts w:cs="Angsana New" w:ascii="Angsana New" w:hAnsi="Angsana New"/>
                <w:sz w:val="26"/>
                <w:szCs w:val="26"/>
              </w:rPr>
              <w:t xml:space="preserve"> </w:t>
            </w:r>
            <w:r>
              <w:rPr>
                <w:rFonts w:ascii="Angsana New" w:hAnsi="Angsana New" w:cs="Angsana New"/>
                <w:sz w:val="26"/>
                <w:sz w:val="26"/>
                <w:szCs w:val="26"/>
              </w:rPr>
              <w:t>ปี</w:t>
            </w:r>
          </w:p>
        </w:tc>
        <w:tc>
          <w:tcPr>
            <w:tcW w:w="14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spacing w:before="0" w:after="200"/>
              <w:ind w:start="0" w:end="0"/>
              <w:contextualSpacing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>
              <w:rPr>
                <w:rFonts w:cs="Angsana New" w:ascii="Angsana New" w:hAnsi="Angsana New"/>
                <w:sz w:val="26"/>
                <w:szCs w:val="26"/>
              </w:rPr>
              <w:t>Recycle</w:t>
            </w:r>
          </w:p>
        </w:tc>
      </w:tr>
    </w:tbl>
    <w:p>
      <w:pPr>
        <w:pStyle w:val="ListParagraph"/>
        <w:ind w:start="578" w:end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cs="Angsana New" w:ascii="Angsana New" w:hAnsi="Angsana New"/>
          <w:b/>
          <w:bCs/>
          <w:sz w:val="32"/>
          <w:szCs w:val="32"/>
        </w:rPr>
      </w:r>
    </w:p>
    <w:p>
      <w:pPr>
        <w:pStyle w:val="Normal"/>
        <w:rPr>
          <w:rFonts w:ascii="Angsana New" w:hAnsi="Angsana New" w:cs="Angsana New"/>
          <w:b/>
          <w:bCs w:val="false"/>
          <w:sz w:val="32"/>
          <w:szCs w:val="32"/>
        </w:rPr>
      </w:pPr>
      <w:r>
        <w:rPr>
          <w:rFonts w:cs="Angsana New"/>
          <w:b/>
          <w:bCs w:val="false"/>
          <w:sz w:val="32"/>
          <w:szCs w:val="32"/>
        </w:rPr>
      </w:r>
    </w:p>
    <w:p>
      <w:r>
        <w:br w:type="page"/>
      </w:r>
    </w:p>
    <w:p>
      <w:r>
        <w:rPr>
          <w:b/>
          <w:bCs/>
          <w:color w:val="14213D"/>
          <w:sz w:val="40"/>
          <w:szCs w:val="40"/>
        </w:rPr>
        <w:t xml:space="preserve">เอกสารนี้เผยแพร่โดย EQA Thailand</w:t>
      </w:r>
    </w:p>
    <w:p>
      <w:r>
        <w:rPr>
          <w:sz w:val="28"/>
          <w:szCs w:val="28"/>
        </w:rPr>
        <w:t xml:space="preserve">บริษัท อีควอล แอสชัวแรนซ์ (ประเทศไทย) จำกัด — หน่วยรับรองระบบ ISO 9001, ISO 14001, ISO 45001, ISO 22000, ISO/IEC 27001 และ GHPs/HACCP และผู้ให้การฝึกอบรมมาตรฐานสากล</w:t>
      </w:r>
    </w:p>
    <w:p>
      <w:r>
        <w:rPr>
          <w:b/>
          <w:bCs/>
          <w:color w:val="1F6F4A"/>
          <w:sz w:val="32"/>
          <w:szCs w:val="32"/>
        </w:rPr>
        <w:t xml:space="preserve">ต้องการขอการรับรอง ISO 9001 หรืออบรมเรื่องนี้?</w:t>
      </w:r>
    </w:p>
    <w:p>
      <w:r>
        <w:rPr>
          <w:b/>
          <w:bCs/>
          <w:sz w:val="28"/>
          <w:szCs w:val="28"/>
        </w:rPr>
        <w:t xml:space="preserve">• ขอการรับรอง ISO 9001 กับ EQA (ขั้นตอนและใบสมัคร)</w:t>
      </w:r>
    </w:p>
    <w:p>
      <w:r>
        <w:rPr>
          <w:color w:val="1D5FA8"/>
          <w:sz w:val="28"/>
          <w:szCs w:val="28"/>
        </w:rPr>
        <w:t xml:space="preserve">   https://eqathaitraining.com/iso-9001/</w:t>
      </w:r>
    </w:p>
    <w:p>
      <w:r>
        <w:rPr>
          <w:b/>
          <w:bCs/>
          <w:sz w:val="28"/>
          <w:szCs w:val="28"/>
        </w:rPr>
        <w:t xml:space="preserve">• หลักสูตรอบรม ISO 9001 (ข้อกำหนด / ตรวจติดตามภายใน)</w:t>
      </w:r>
    </w:p>
    <w:p>
      <w:r>
        <w:rPr>
          <w:color w:val="1D5FA8"/>
          <w:sz w:val="28"/>
          <w:szCs w:val="28"/>
        </w:rPr>
        <w:t xml:space="preserve">   https://eqathaitraining.com/all-courses/?q=9001</w:t>
      </w:r>
    </w:p>
    <w:p>
      <w:r>
        <w:rPr>
          <w:b/>
          <w:bCs/>
          <w:sz w:val="28"/>
          <w:szCs w:val="28"/>
        </w:rPr>
        <w:t xml:space="preserve">• ค่าตรวจรับรอง ISO คิดจากอะไร</w:t>
      </w:r>
    </w:p>
    <w:p>
      <w:r>
        <w:rPr>
          <w:color w:val="1D5FA8"/>
          <w:sz w:val="28"/>
          <w:szCs w:val="28"/>
        </w:rPr>
        <w:t xml:space="preserve">   https://eqathaitraining.com/iso-certification-cost-factors-audit-time/</w:t>
      </w:r>
    </w:p>
    <w:p>
      <w:r>
        <w:rPr>
          <w:b/>
          <w:bCs/>
          <w:sz w:val="28"/>
          <w:szCs w:val="28"/>
        </w:rPr>
        <w:t xml:space="preserve">ติดต่อ EQA Thailand: eqa.training@equalassurancethai.com · โทร 063 187 9718 · https://eqathaitraining.com/contact/</w:t>
      </w:r>
    </w:p>
    <w:p>
      <w:r>
        <w:rPr>
          <w:color w:val="5A6472"/>
          <w:sz w:val="22"/>
          <w:szCs w:val="22"/>
        </w:rPr>
        <w:t xml:space="preserve">เอกสารนี้เป็นตัวอย่างเพื่อการศึกษา ผู้ใช้ควรปรับให้เหมาะกับองค์กรของตนเอง EQA เป็นหน่วยรับรอง (Certification Body) จึงไม่ให้คำปรึกษาในการจัดทำระบบ</w:t>
      </w:r>
    </w:p>
    <w:sectPr>
      <w:headerReference w:type="default" r:id="rId8"/>
      <w:type w:val="nextPage"/>
      <w:pgSz w:w="11906" w:h="16838"/>
      <w:pgMar w:left="900" w:right="926" w:gutter="0" w:header="720" w:top="77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ngsana New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ordiaUPC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573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23"/>
      <w:gridCol w:w="3686"/>
      <w:gridCol w:w="3464"/>
    </w:tblGrid>
    <w:tr>
      <w:trPr>
        <w:trHeight w:val="409" w:hRule="atLeast"/>
        <w:cantSplit w:val="true"/>
      </w:trPr>
      <w:tc>
        <w:tcPr>
          <w:tcW w:w="342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jc w:val="center"/>
            <w:rPr>
              <w:b/>
              <w:szCs w:val="24"/>
            </w:rPr>
          </w:pPr>
          <w:r>
            <w:rPr>
              <w:b/>
              <w:szCs w:val="24"/>
              <w:lang w:val="en-US" w:eastAsia="en-US"/>
            </w:rPr>
            <w:drawing>
              <wp:inline distT="0" distB="0" distL="0" distR="0">
                <wp:extent cx="1653540" cy="959485"/>
                <wp:effectExtent l="0" t="0" r="0" b="0"/>
                <wp:docPr id="1" name="Picture 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37" r="-22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3540" cy="95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jc w:val="center"/>
            <w:rPr>
              <w:b/>
              <w:bCs w:val="false"/>
              <w:sz w:val="36"/>
              <w:szCs w:val="36"/>
            </w:rPr>
          </w:pPr>
          <w:r>
            <w:rPr>
              <w:b/>
              <w:b/>
              <w:szCs w:val="24"/>
            </w:rPr>
            <w:t xml:space="preserve">บริษัท </w:t>
          </w:r>
          <w:r>
            <w:rPr>
              <w:b/>
              <w:b/>
              <w:szCs w:val="24"/>
            </w:rPr>
            <w:t xml:space="preserve">อีควอล แอสชัวแรนซ์ </w:t>
          </w:r>
          <w:r>
            <w:rPr>
              <w:b/>
              <w:szCs w:val="24"/>
            </w:rPr>
            <w:t>(</w:t>
          </w:r>
          <w:r>
            <w:rPr>
              <w:b/>
              <w:b/>
              <w:szCs w:val="24"/>
            </w:rPr>
            <w:t>ประเทศไทย</w:t>
          </w:r>
          <w:r>
            <w:rPr>
              <w:b/>
              <w:szCs w:val="24"/>
            </w:rPr>
            <w:t>)</w:t>
          </w:r>
          <w:r>
            <w:rPr>
              <w:b/>
              <w:szCs w:val="24"/>
            </w:rPr>
            <w:t xml:space="preserve"> </w:t>
          </w:r>
          <w:r>
            <w:rPr>
              <w:b/>
              <w:b/>
              <w:szCs w:val="24"/>
            </w:rPr>
            <w:t>จำกัด</w:t>
          </w:r>
        </w:p>
      </w:tc>
      <w:tc>
        <w:tcPr>
          <w:tcW w:w="7150" w:type="dxa"/>
          <w:gridSpan w:val="2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ing1"/>
            <w:spacing w:before="0" w:after="60"/>
            <w:ind w:hanging="0" w:start="0"/>
            <w:rPr>
              <w:rFonts w:ascii="Angsana New" w:hAnsi="Angsana New" w:cs="Angsana New"/>
              <w:b w:val="false"/>
              <w:bCs w:val="false"/>
              <w:szCs w:val="32"/>
            </w:rPr>
          </w:pPr>
          <w:r>
            <w:rPr>
              <w:rFonts w:ascii="Angsana New" w:hAnsi="Angsana New" w:cs="Angsana New"/>
              <w:szCs w:val="32"/>
            </w:rPr>
            <w:t>ระเบียบปฏิบัติเรื่อง</w:t>
          </w:r>
          <w:r>
            <w:rPr>
              <w:rFonts w:ascii="Angsana New" w:hAnsi="Angsana New" w:cs="Angsana New"/>
              <w:b w:val="false"/>
              <w:b w:val="false"/>
              <w:bCs w:val="false"/>
              <w:szCs w:val="32"/>
            </w:rPr>
            <w:t xml:space="preserve">  การควบคุมคุณภาพ</w:t>
          </w:r>
        </w:p>
      </w:tc>
    </w:tr>
    <w:tr>
      <w:trPr>
        <w:trHeight w:val="307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Angsana New" w:hAnsi="Angsana New" w:eastAsia="Angsana New" w:cs="Angsana New"/>
              <w:b w:val="false"/>
              <w:bCs w:val="false"/>
              <w:szCs w:val="32"/>
            </w:rPr>
          </w:pPr>
          <w:r>
            <w:rPr>
              <w:rFonts w:eastAsia="Angsana New" w:cs="Angsana New"/>
              <w:b w:val="false"/>
              <w:bCs w:val="false"/>
              <w:szCs w:val="32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เอกสารเลขที่     </w:t>
          </w:r>
          <w:r>
            <w:rPr>
              <w:rFonts w:eastAsia="Angsana New"/>
            </w:rPr>
            <w:t>:  QP-</w:t>
          </w:r>
          <w:r>
            <w:rPr>
              <w:rFonts w:eastAsia="Angsana New"/>
              <w:lang w:val="en-US"/>
            </w:rPr>
            <w:t>QC</w:t>
          </w:r>
          <w:r>
            <w:rPr>
              <w:rFonts w:eastAsia="Angsana New"/>
            </w:rPr>
            <w:t>-01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bCs w:val="false"/>
            </w:rPr>
          </w:pPr>
          <w:r>
            <w:rPr>
              <w:rFonts w:eastAsia="Angsana New"/>
            </w:rPr>
            <w:t xml:space="preserve">หน้าที่          </w:t>
          </w:r>
          <w:r>
            <w:rPr>
              <w:rFonts w:eastAsia="Angsana New"/>
            </w:rPr>
            <w:t xml:space="preserve">:      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8</w:t>
          </w:r>
          <w:r>
            <w:rPr>
              <w:rStyle w:val="PageNumber"/>
            </w:rPr>
            <w:fldChar w:fldCharType="end"/>
          </w:r>
        </w:p>
      </w:tc>
    </w:tr>
    <w:tr>
      <w:trPr>
        <w:trHeight w:val="330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วันที่เริ่มใช้        </w:t>
          </w:r>
          <w:r>
            <w:rPr>
              <w:rFonts w:eastAsia="Angsana New"/>
            </w:rPr>
            <w:t xml:space="preserve">: </w:t>
          </w:r>
          <w:r>
            <w:rPr>
              <w:rFonts w:eastAsia="Angsana New" w:cs="Calibri" w:ascii="Calibri" w:hAnsi="Calibri"/>
            </w:rPr>
            <w:t xml:space="preserve"> </w:t>
          </w:r>
          <w:r>
            <w:rPr>
              <w:rFonts w:eastAsia="Angsana New"/>
            </w:rPr>
            <w:t xml:space="preserve">1 </w:t>
          </w:r>
          <w:r>
            <w:rPr>
              <w:rFonts w:eastAsia="Angsana New"/>
            </w:rPr>
            <w:t xml:space="preserve">มกราคม </w:t>
          </w:r>
          <w:r>
            <w:rPr>
              <w:rFonts w:eastAsia="Angsana New"/>
            </w:rPr>
            <w:t>2564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แก้ไขครั้งที่   </w:t>
          </w:r>
          <w:r>
            <w:rPr>
              <w:rFonts w:eastAsia="Angsana New"/>
            </w:rPr>
            <w:t>:       0</w:t>
          </w:r>
        </w:p>
      </w:tc>
    </w:tr>
    <w:tr>
      <w:trPr>
        <w:trHeight w:val="331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ทบทวนโดย      </w:t>
          </w:r>
          <w:r>
            <w:rPr>
              <w:rFonts w:eastAsia="Angsana New"/>
            </w:rPr>
            <w:t>: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  <w:b/>
              <w:b/>
            </w:rPr>
            <w:t>ขยัน  เจริญยิ่ง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อนุมัติโดย   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</w:rPr>
            <w:t>:</w:t>
          </w:r>
          <w:r>
            <w:rPr>
              <w:rFonts w:eastAsia="Angsana New"/>
            </w:rPr>
            <w:t xml:space="preserve"> </w:t>
          </w:r>
          <w:r>
            <w:rPr/>
            <w:t>มานะ</w:t>
          </w:r>
          <w:r>
            <w:rPr/>
            <w:t xml:space="preserve">  เจริญยิ่ง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isLgl/>
      <w:numFmt w:val="decimal"/>
      <w:lvlText w:val="%1.%2"/>
      <w:lvlJc w:val="start"/>
      <w:pPr>
        <w:tabs>
          <w:tab w:val="num" w:pos="0"/>
        </w:tabs>
        <w:ind w:start="786" w:hanging="360"/>
      </w:pPr>
      <w:rPr/>
    </w:lvl>
    <w:lvl w:ilvl="2">
      <w:start w:val="1"/>
      <w:isLgl/>
      <w:numFmt w:val="decimal"/>
      <w:lvlText w:val="%1.%2.%3"/>
      <w:lvlJc w:val="start"/>
      <w:pPr>
        <w:tabs>
          <w:tab w:val="num" w:pos="0"/>
        </w:tabs>
        <w:ind w:start="1212" w:hanging="720"/>
      </w:pPr>
      <w:rPr/>
    </w:lvl>
    <w:lvl w:ilvl="3">
      <w:start w:val="1"/>
      <w:isLgl/>
      <w:numFmt w:val="decimal"/>
      <w:lvlText w:val="%1.%2.%3.%4"/>
      <w:lvlJc w:val="start"/>
      <w:pPr>
        <w:tabs>
          <w:tab w:val="num" w:pos="0"/>
        </w:tabs>
        <w:ind w:start="1278" w:hanging="720"/>
      </w:pPr>
      <w:rPr/>
    </w:lvl>
    <w:lvl w:ilvl="4">
      <w:start w:val="1"/>
      <w:isLgl/>
      <w:numFmt w:val="decimal"/>
      <w:lvlText w:val="%1.%2.%3.%4.%5"/>
      <w:lvlJc w:val="start"/>
      <w:pPr>
        <w:tabs>
          <w:tab w:val="num" w:pos="0"/>
        </w:tabs>
        <w:ind w:start="1344" w:hanging="720"/>
      </w:pPr>
      <w:rPr/>
    </w:lvl>
    <w:lvl w:ilvl="5">
      <w:start w:val="1"/>
      <w:isLgl/>
      <w:numFmt w:val="decimal"/>
      <w:lvlText w:val="%1.%2.%3.%4.%5.%6"/>
      <w:lvlJc w:val="start"/>
      <w:pPr>
        <w:tabs>
          <w:tab w:val="num" w:pos="0"/>
        </w:tabs>
        <w:ind w:start="1770" w:hanging="1080"/>
      </w:pPr>
      <w:rPr/>
    </w:lvl>
    <w:lvl w:ilvl="6">
      <w:start w:val="1"/>
      <w:isLgl/>
      <w:numFmt w:val="decimal"/>
      <w:lvlText w:val="%1.%2.%3.%4.%5.%6.%7"/>
      <w:lvlJc w:val="start"/>
      <w:pPr>
        <w:tabs>
          <w:tab w:val="num" w:pos="0"/>
        </w:tabs>
        <w:ind w:start="1836" w:hanging="1080"/>
      </w:pPr>
      <w:rPr/>
    </w:lvl>
    <w:lvl w:ilvl="7">
      <w:start w:val="1"/>
      <w:isLgl/>
      <w:numFmt w:val="decimal"/>
      <w:lvlText w:val="%1.%2.%3.%4.%5.%6.%7.%8"/>
      <w:lvlJc w:val="start"/>
      <w:pPr>
        <w:tabs>
          <w:tab w:val="num" w:pos="0"/>
        </w:tabs>
        <w:ind w:start="1902" w:hanging="1080"/>
      </w:pPr>
      <w:rPr/>
    </w:lvl>
    <w:lvl w:ilvl="8">
      <w:start w:val="1"/>
      <w:isLgl/>
      <w:numFmt w:val="decimal"/>
      <w:lvlText w:val="%1.%2.%3.%4.%5.%6.%7.%8.%9"/>
      <w:lvlJc w:val="start"/>
      <w:pPr>
        <w:tabs>
          <w:tab w:val="num" w:pos="0"/>
        </w:tabs>
        <w:ind w:start="2328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ngsana New" w:hAnsi="Angsana New" w:eastAsia="MS Mincho;ＭＳ 明朝" w:cs="Angsana New"/>
      <w:bCs/>
      <w:color w:val="auto"/>
      <w:sz w:val="32"/>
      <w:szCs w:val="32"/>
      <w:lang w:val="en-GB" w:eastAsia="ja-JP" w:bidi="th-TH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kern w:val="2"/>
      <w:szCs w:val="4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Cordia New"/>
      <w:b/>
      <w:i/>
      <w:i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sz w:val="28"/>
    </w:rPr>
  </w:style>
  <w:style w:type="character" w:styleId="WW8Num1z0">
    <w:name w:val="WW8Num1z0"/>
    <w:qFormat/>
    <w:rPr/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HeaderChar">
    <w:name w:val="Header Char"/>
    <w:qFormat/>
    <w:rPr>
      <w:rFonts w:ascii="Angsana New" w:hAnsi="Angsana New" w:cs="Angsana New"/>
      <w:bCs/>
      <w:sz w:val="32"/>
      <w:szCs w:val="37"/>
      <w:lang w:val="en-GB" w:eastAsia="ja-JP"/>
    </w:rPr>
  </w:style>
  <w:style w:type="character" w:styleId="SubtitleChar">
    <w:name w:val="Subtitle Char"/>
    <w:qFormat/>
    <w:rPr>
      <w:rFonts w:ascii="Cambria" w:hAnsi="Cambria" w:eastAsia="Times New Roman" w:cs="Angsana New"/>
      <w:bCs/>
      <w:sz w:val="24"/>
      <w:szCs w:val="30"/>
      <w:lang w:val="en-GB" w:eastAsia="ja-JP"/>
    </w:rPr>
  </w:style>
  <w:style w:type="character" w:styleId="Heading1Char">
    <w:name w:val="Heading 1 Char"/>
    <w:qFormat/>
    <w:rPr>
      <w:rFonts w:ascii="Cambria" w:hAnsi="Cambria" w:eastAsia="Times New Roman" w:cs="Cambria"/>
      <w:b/>
      <w:bCs/>
      <w:kern w:val="2"/>
      <w:sz w:val="32"/>
      <w:szCs w:val="40"/>
      <w:lang w:val="en-GB" w:eastAsia="ja-JP"/>
    </w:rPr>
  </w:style>
  <w:style w:type="character" w:styleId="TitleChar">
    <w:name w:val="Title Char"/>
    <w:qFormat/>
    <w:rPr>
      <w:rFonts w:ascii="CordiaUPC" w:hAnsi="CordiaUPC" w:eastAsia="Cordia New" w:cs="CordiaUPC"/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jc w:val="center"/>
    </w:pPr>
    <w:rPr>
      <w:rFonts w:ascii="CordiaUPC" w:hAnsi="CordiaUPC" w:eastAsia="Cordia New" w:cs="CordiaUPC"/>
      <w:b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eastAsia="Times New Roman" w:cs="Angsana New"/>
      <w:sz w:val="24"/>
      <w:szCs w:val="30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Calibri" w:cs="Cordia New"/>
      <w:color w:val="auto"/>
      <w:sz w:val="22"/>
      <w:szCs w:val="28"/>
      <w:lang w:val="en-US" w:bidi="th-TH" w:eastAsia="zh-CN"/>
    </w:rPr>
  </w:style>
  <w:style w:type="paragraph" w:styleId="ListParagraph">
    <w:name w:val="List Paragraph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Times New Roman" w:cs="Cordia New"/>
      <w:bCs w:val="false"/>
      <w:sz w:val="22"/>
      <w:szCs w:val="28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oleObject" Target="embeddings/oleObject2.bin"/><Relationship Id="rId5" Type="http://schemas.openxmlformats.org/officeDocument/2006/relationships/image" Target="media/image2.wmf"/><Relationship Id="rId6" Type="http://schemas.openxmlformats.org/officeDocument/2006/relationships/oleObject" Target="embeddings/oleObject3.bin"/><Relationship Id="rId7" Type="http://schemas.openxmlformats.org/officeDocument/2006/relationships/image" Target="media/image3.wmf"/><Relationship Id="rId8" Type="http://schemas.openxmlformats.org/officeDocument/2006/relationships/header" Target="head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2021-10-27T11:52:00Z</dcterms:created>
  <dc:creator>Administrator</dc:creator>
  <dc:description/>
  <cp:keywords/>
  <dc:language>en-US</dc:language>
  <cp:lastModifiedBy>Jeerasak Muangchin</cp:lastModifiedBy>
  <dcterms:modified xsi:type="dcterms:W3CDTF">2021-10-27T11:56:00Z</dcterms:modified>
  <cp:revision>5</cp:revision>
  <dc:subject/>
  <dc:title>1</dc:title>
</cp:coreProperties>
</file>