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"/>
        <w:rPr>
          <w:rFonts w:ascii="Angsana New" w:hAnsi="Angsana New" w:cs="Angsana New"/>
        </w:rPr>
      </w:pPr>
      <w:r>
        <w:rPr>
          <w:rFonts w:cs="Angsana New" w:ascii="Angsana New" w:hAnsi="Angsana New"/>
        </w:rPr>
      </w:r>
    </w:p>
    <w:p>
      <w:pPr>
        <w:pStyle w:val="Heading"/>
        <w:rPr>
          <w:rFonts w:ascii="Angsana New" w:hAnsi="Angsana New" w:cs="Angsana New"/>
        </w:rPr>
      </w:pPr>
      <w:r>
        <w:rPr>
          <w:rFonts w:cs="Angsana New" w:ascii="Angsana New" w:hAnsi="Angsana New"/>
        </w:rPr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sz w:val="40"/>
          <w:sz w:val="40"/>
          <w:szCs w:val="40"/>
        </w:rPr>
        <w:t>ระเบียบปฏิบัติ เรื่อง การควบคุมวัตถุดิบ สินค้าและจัดส่ง</w:t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  <w:t>Raw material, Finish good and delivery control procedure</w:t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sz w:val="40"/>
          <w:sz w:val="40"/>
          <w:szCs w:val="40"/>
        </w:rPr>
        <w:t xml:space="preserve">บริษัท อีควอล แอสชัวแรนซ์ </w:t>
      </w:r>
      <w:r>
        <w:rPr>
          <w:rFonts w:cs="Angsana New" w:ascii="Angsana New" w:hAnsi="Angsana New"/>
          <w:sz w:val="40"/>
          <w:szCs w:val="40"/>
        </w:rPr>
        <w:t>(</w:t>
      </w:r>
      <w:r>
        <w:rPr>
          <w:rFonts w:ascii="Angsana New" w:hAnsi="Angsana New" w:cs="Angsana New"/>
          <w:sz w:val="40"/>
          <w:sz w:val="40"/>
          <w:szCs w:val="40"/>
        </w:rPr>
        <w:t>ประเทศไทย</w:t>
      </w:r>
      <w:r>
        <w:rPr>
          <w:rFonts w:cs="Angsana New" w:ascii="Angsana New" w:hAnsi="Angsana New"/>
          <w:sz w:val="40"/>
          <w:szCs w:val="40"/>
        </w:rPr>
        <w:t xml:space="preserve">) </w:t>
      </w:r>
      <w:r>
        <w:rPr>
          <w:rFonts w:ascii="Angsana New" w:hAnsi="Angsana New" w:cs="Angsana New"/>
          <w:sz w:val="40"/>
          <w:sz w:val="40"/>
          <w:szCs w:val="40"/>
        </w:rPr>
        <w:t>จำกัด</w:t>
      </w:r>
    </w:p>
    <w:p>
      <w:pPr>
        <w:pStyle w:val="Heading"/>
        <w:rPr>
          <w:rFonts w:ascii="Angsana New" w:hAnsi="Angsana New" w:cs="Angsana New"/>
          <w:sz w:val="40"/>
          <w:szCs w:val="40"/>
        </w:rPr>
      </w:pPr>
      <w:r>
        <w:rPr>
          <w:rFonts w:cs="Angsana New" w:ascii="Angsana New" w:hAnsi="Angsana New"/>
          <w:sz w:val="40"/>
          <w:szCs w:val="40"/>
        </w:rPr>
        <w:t>EQUAL ASSURANCE (THAILAND) LTD.</w:t>
      </w:r>
    </w:p>
    <w:p>
      <w:pPr>
        <w:pStyle w:val="Normal"/>
        <w:rPr>
          <w:rFonts w:ascii="Angsana New" w:hAnsi="Angsana New" w:cs="Angsana New"/>
          <w:sz w:val="40"/>
          <w:szCs w:val="40"/>
        </w:rPr>
      </w:pPr>
      <w:r>
        <w:rPr>
          <w:rFonts w:cs="Angsana New"/>
          <w:sz w:val="40"/>
          <w:szCs w:val="4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00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001"/>
        <w:gridCol w:w="3001"/>
        <w:gridCol w:w="3001"/>
      </w:tblGrid>
      <w:tr>
        <w:trPr/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</w:rPr>
            </w:pPr>
            <w:r>
              <w:rPr>
                <w:sz w:val="28"/>
                <w:sz w:val="28"/>
              </w:rPr>
              <w:t>ผู้จัดทำ</w:t>
            </w:r>
          </w:p>
          <w:p>
            <w:pPr>
              <w:pStyle w:val="Normal"/>
              <w:jc w:val="center"/>
              <w:rPr>
                <w:sz w:val="28"/>
              </w:rPr>
            </w:pPr>
            <w:r>
              <w:rPr>
                <w:sz w:val="28"/>
              </w:rPr>
              <w:t>.............................................</w:t>
            </w:r>
          </w:p>
          <w:p>
            <w:pPr>
              <w:pStyle w:val="Normal"/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>
              <w:rPr>
                <w:rFonts w:eastAsia="Angsana New"/>
              </w:rPr>
              <w:t>ขยัน  เจริญยิ่ง</w:t>
            </w:r>
            <w:r>
              <w:rPr>
                <w:sz w:val="28"/>
              </w:rPr>
              <w:t>)</w:t>
            </w:r>
          </w:p>
          <w:p>
            <w:pPr>
              <w:pStyle w:val="Normal"/>
              <w:jc w:val="center"/>
              <w:rPr/>
            </w:pPr>
            <w:r>
              <w:rPr/>
              <w:t>...... / ......... /......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8"/>
              </w:rPr>
            </w:pPr>
            <w:r>
              <w:rPr>
                <w:sz w:val="28"/>
                <w:sz w:val="28"/>
              </w:rPr>
              <w:t>ผู้ทบทวน</w:t>
            </w:r>
          </w:p>
          <w:p>
            <w:pPr>
              <w:pStyle w:val="Normal"/>
              <w:jc w:val="center"/>
              <w:rPr>
                <w:sz w:val="28"/>
              </w:rPr>
            </w:pPr>
            <w:r>
              <w:rPr>
                <w:sz w:val="28"/>
              </w:rPr>
              <w:t>.............................................</w:t>
            </w:r>
          </w:p>
          <w:p>
            <w:pPr>
              <w:pStyle w:val="Normal"/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>
              <w:rPr>
                <w:rFonts w:eastAsia="Angsana New"/>
              </w:rPr>
              <w:t>ขยัน  เจริญยิ่ง</w:t>
            </w:r>
            <w:r>
              <w:rPr>
                <w:sz w:val="28"/>
              </w:rPr>
              <w:t>)</w:t>
            </w:r>
          </w:p>
          <w:p>
            <w:pPr>
              <w:pStyle w:val="Normal"/>
              <w:jc w:val="center"/>
              <w:rPr/>
            </w:pPr>
            <w:r>
              <w:rPr/>
              <w:t>...... / ......... /......</w:t>
            </w:r>
          </w:p>
        </w:tc>
        <w:tc>
          <w:tcPr>
            <w:tcW w:w="30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8"/>
              </w:rPr>
            </w:pPr>
            <w:r>
              <w:rPr>
                <w:sz w:val="28"/>
                <w:sz w:val="28"/>
              </w:rPr>
              <w:t>ผู้อนุมัติ</w:t>
            </w:r>
          </w:p>
          <w:p>
            <w:pPr>
              <w:pStyle w:val="Normal"/>
              <w:jc w:val="center"/>
              <w:rPr>
                <w:sz w:val="28"/>
              </w:rPr>
            </w:pPr>
            <w:r>
              <w:rPr>
                <w:sz w:val="28"/>
              </w:rPr>
              <w:t>.............................................</w:t>
            </w:r>
          </w:p>
          <w:p>
            <w:pPr>
              <w:pStyle w:val="Normal"/>
              <w:rPr/>
            </w:pPr>
            <w:r>
              <w:rPr>
                <w:rFonts w:eastAsia="Angsana New"/>
              </w:rPr>
              <w:t xml:space="preserve">            </w:t>
            </w:r>
            <w:r>
              <w:rPr>
                <w:sz w:val="28"/>
              </w:rPr>
              <w:t>(</w:t>
            </w:r>
            <w:r>
              <w:rPr>
                <w:b/>
                <w:b/>
              </w:rPr>
              <w:t>มานะ</w:t>
            </w:r>
            <w:r>
              <w:rPr>
                <w:rFonts w:eastAsia="Angsana New"/>
              </w:rPr>
              <w:t xml:space="preserve">  เจริญยิ่ง</w:t>
            </w:r>
            <w:r>
              <w:rPr>
                <w:sz w:val="28"/>
              </w:rPr>
              <w:t>)</w:t>
            </w:r>
            <w:r>
              <w:rPr/>
              <w:t xml:space="preserve">                    </w:t>
            </w:r>
            <w:r>
              <w:rPr/>
              <w:t xml:space="preserve"> </w:t>
            </w:r>
            <w:r>
              <w:rPr/>
              <w:t xml:space="preserve"> </w:t>
            </w:r>
            <w:r>
              <w:rPr/>
              <w:t xml:space="preserve">                      </w:t>
            </w:r>
          </w:p>
          <w:p>
            <w:pPr>
              <w:pStyle w:val="Normal"/>
              <w:rPr/>
            </w:pPr>
            <w:r>
              <w:rPr>
                <w:rFonts w:eastAsia="Angsana New"/>
              </w:rPr>
              <w:t xml:space="preserve">                </w:t>
            </w:r>
            <w:r>
              <w:rPr/>
              <w:t>...... / ......... /......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 w:val="false"/>
          <w:lang w:val="en-AU"/>
        </w:rPr>
      </w:pPr>
      <w:r>
        <w:rPr>
          <w:b/>
          <w:bCs w:val="false"/>
          <w:lang w:val="en-AU"/>
        </w:rPr>
      </w:r>
    </w:p>
    <w:p>
      <w:pPr>
        <w:pStyle w:val="Normal"/>
        <w:jc w:val="center"/>
        <w:rPr>
          <w:b/>
          <w:bCs w:val="false"/>
          <w:lang w:val="en-AU"/>
        </w:rPr>
      </w:pPr>
      <w:r>
        <w:rPr>
          <w:b/>
          <w:bCs w:val="false"/>
          <w:lang w:val="en-AU"/>
        </w:rPr>
      </w:r>
    </w:p>
    <w:p>
      <w:pPr>
        <w:pStyle w:val="Normal"/>
        <w:jc w:val="center"/>
        <w:rPr>
          <w:b/>
          <w:bCs w:val="false"/>
          <w:lang w:val="en-AU"/>
        </w:rPr>
      </w:pPr>
      <w:r>
        <w:rPr>
          <w:b/>
          <w:bCs w:val="false"/>
          <w:lang w:val="en-AU"/>
        </w:rPr>
      </w:r>
    </w:p>
    <w:p>
      <w:pPr>
        <w:pStyle w:val="Normal"/>
        <w:jc w:val="center"/>
        <w:rPr>
          <w:b/>
          <w:bCs w:val="false"/>
          <w:lang w:val="en-AU"/>
        </w:rPr>
      </w:pPr>
      <w:r>
        <w:rPr>
          <w:b/>
          <w:bCs w:val="false"/>
          <w:lang w:val="en-AU"/>
        </w:rPr>
      </w:r>
    </w:p>
    <w:p>
      <w:pPr>
        <w:pStyle w:val="Normal"/>
        <w:jc w:val="center"/>
        <w:rPr>
          <w:b/>
          <w:bCs w:val="false"/>
          <w:lang w:val="en-AU"/>
        </w:rPr>
      </w:pPr>
      <w:r>
        <w:rPr>
          <w:b/>
          <w:bCs w:val="false"/>
          <w:lang w:val="en-AU"/>
        </w:rPr>
      </w:r>
    </w:p>
    <w:p>
      <w:pPr>
        <w:pStyle w:val="Normal"/>
        <w:jc w:val="center"/>
        <w:rPr>
          <w:b/>
          <w:bCs w:val="false"/>
          <w:lang w:val="en-AU"/>
        </w:rPr>
      </w:pPr>
      <w:r>
        <w:rPr>
          <w:b/>
          <w:bCs w:val="false"/>
          <w:lang w:val="en-AU"/>
        </w:rPr>
      </w:r>
    </w:p>
    <w:p>
      <w:pPr>
        <w:pStyle w:val="Normal"/>
        <w:jc w:val="center"/>
        <w:rPr>
          <w:b/>
          <w:bCs w:val="false"/>
          <w:lang w:val="en-AU"/>
        </w:rPr>
      </w:pPr>
      <w:r>
        <w:rPr>
          <w:b/>
          <w:bCs w:val="false"/>
          <w:lang w:val="en-AU"/>
        </w:rPr>
      </w:r>
    </w:p>
    <w:p>
      <w:pPr>
        <w:pStyle w:val="Normal"/>
        <w:ind w:start="-540" w:end="0"/>
        <w:rPr>
          <w:sz w:val="28"/>
          <w:lang w:val="en-US"/>
        </w:rPr>
      </w:pPr>
      <w:r>
        <w:rPr>
          <w:sz w:val="28"/>
        </w:rPr>
        <w:t>1.</w:t>
        <w:tab/>
      </w:r>
      <w:r>
        <w:rPr>
          <w:sz w:val="28"/>
          <w:sz w:val="28"/>
        </w:rPr>
        <w:t>วัตถุประสงค์</w:t>
      </w:r>
    </w:p>
    <w:p>
      <w:pPr>
        <w:pStyle w:val="Normal"/>
        <w:ind w:hanging="360" w:start="-180" w:end="0"/>
        <w:jc w:val="both"/>
        <w:rPr>
          <w:b/>
          <w:bCs w:val="false"/>
          <w:sz w:val="28"/>
        </w:rPr>
      </w:pPr>
      <w:r>
        <w:rPr>
          <w:b/>
          <w:bCs w:val="false"/>
          <w:sz w:val="28"/>
        </w:rPr>
        <w:tab/>
      </w:r>
      <w:r>
        <w:rPr>
          <w:b/>
          <w:b/>
          <w:bCs w:val="false"/>
          <w:sz w:val="28"/>
          <w:sz w:val="28"/>
        </w:rPr>
        <w:t>เพื่อใช้เป็นคู่มือ</w:t>
      </w:r>
      <w:r>
        <w:rPr>
          <w:b/>
          <w:b/>
          <w:bCs w:val="false"/>
          <w:sz w:val="28"/>
          <w:sz w:val="28"/>
        </w:rPr>
        <w:t>ในการทำงานและปฎิบัติตามขั้นตอนต่างๆของรับวัตถุดิบ ตั้งแต่การรับวัตถุดิบเข้าบริษัท นำวัตถุดิบเข้าสู่พื้นที่การจัดเก็บ การจ่ายวัถตุดิบสู่กระบวนการผลิต การรับสินค้าสำเร็จรูป การส่งมอบสินค้าให้กับลูกค้าได้ตรงตามความต้องการและตามกำหนดระยะเวลาของลูกค้า</w:t>
      </w:r>
    </w:p>
    <w:p>
      <w:pPr>
        <w:pStyle w:val="Normal"/>
        <w:ind w:hanging="360" w:start="-180" w:end="0"/>
        <w:jc w:val="both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</w:rPr>
        <w:tab/>
      </w:r>
    </w:p>
    <w:p>
      <w:pPr>
        <w:pStyle w:val="Normal"/>
        <w:ind w:hanging="360" w:start="-180" w:end="0"/>
        <w:rPr/>
      </w:pPr>
      <w:r>
        <w:rPr>
          <w:b/>
          <w:bCs w:val="false"/>
          <w:sz w:val="28"/>
          <w:lang w:val="en-US"/>
        </w:rPr>
        <w:t>2.</w:t>
      </w:r>
      <w:r>
        <w:rPr>
          <w:sz w:val="28"/>
          <w:lang w:val="en-US"/>
        </w:rPr>
        <w:tab/>
      </w:r>
      <w:r>
        <w:rPr>
          <w:sz w:val="28"/>
          <w:sz w:val="28"/>
          <w:lang w:val="en-US"/>
        </w:rPr>
        <w:t>ขอบเขต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sz w:val="28"/>
        </w:rPr>
        <w:tab/>
      </w:r>
      <w:r>
        <w:rPr>
          <w:b/>
          <w:b/>
          <w:bCs w:val="false"/>
          <w:sz w:val="28"/>
          <w:sz w:val="28"/>
        </w:rPr>
        <w:t xml:space="preserve">ตั้งแต่รับวัตถุดิบ พื้นที่เก็บวัตถุดิบ พื้นที่การเก็บสินค้าสำเร็จรูป ควบคุมโดยใช้หลักการ </w:t>
      </w:r>
      <w:r>
        <w:rPr>
          <w:b/>
          <w:bCs w:val="false"/>
          <w:sz w:val="28"/>
          <w:lang w:val="en-US"/>
        </w:rPr>
        <w:t xml:space="preserve">First in  First out </w:t>
      </w:r>
      <w:r>
        <w:rPr>
          <w:b/>
          <w:bCs w:val="false"/>
          <w:sz w:val="28"/>
          <w:lang w:val="en-US"/>
        </w:rPr>
        <w:t xml:space="preserve"> </w:t>
      </w:r>
      <w:r>
        <w:rPr>
          <w:b/>
          <w:b/>
          <w:bCs w:val="false"/>
          <w:sz w:val="28"/>
          <w:sz w:val="28"/>
          <w:lang w:val="en-US"/>
        </w:rPr>
        <w:t xml:space="preserve">ไปจนถึงกระบวนการส่งมอบ บนรถขนส่งไปถึงลูกค้า 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</w:r>
    </w:p>
    <w:p>
      <w:pPr>
        <w:pStyle w:val="Normal"/>
        <w:ind w:hanging="360" w:start="-180" w:end="0"/>
        <w:rPr/>
      </w:pPr>
      <w:r>
        <w:rPr>
          <w:sz w:val="28"/>
        </w:rPr>
        <w:t xml:space="preserve">3. </w:t>
        <w:tab/>
      </w:r>
      <w:r>
        <w:rPr>
          <w:sz w:val="28"/>
          <w:sz w:val="28"/>
        </w:rPr>
        <w:t>นิยาม</w:t>
      </w:r>
    </w:p>
    <w:p>
      <w:pPr>
        <w:pStyle w:val="Normal"/>
        <w:ind w:hanging="360" w:start="-180" w:end="0"/>
        <w:jc w:val="start"/>
        <w:rPr>
          <w:b/>
          <w:bCs w:val="false"/>
          <w:sz w:val="28"/>
          <w:lang w:val="en-US"/>
        </w:rPr>
      </w:pPr>
      <w:r>
        <w:rPr>
          <w:sz w:val="28"/>
        </w:rPr>
        <w:tab/>
      </w:r>
      <w:r>
        <w:rPr>
          <w:b/>
          <w:b/>
          <w:bCs w:val="false"/>
          <w:sz w:val="28"/>
          <w:sz w:val="28"/>
        </w:rPr>
        <w:t xml:space="preserve">วัตถุดิบ </w:t>
      </w:r>
      <w:r>
        <w:rPr>
          <w:b/>
          <w:bCs w:val="false"/>
          <w:sz w:val="28"/>
        </w:rPr>
        <w:tab/>
        <w:tab/>
        <w:tab/>
      </w:r>
      <w:r>
        <w:rPr>
          <w:b/>
          <w:b/>
          <w:bCs w:val="false"/>
          <w:sz w:val="28"/>
          <w:sz w:val="28"/>
        </w:rPr>
        <w:t>หมายถึง</w:t>
      </w:r>
      <w:r>
        <w:rPr>
          <w:b/>
          <w:bCs w:val="false"/>
          <w:sz w:val="28"/>
        </w:rPr>
        <w:tab/>
      </w:r>
      <w:r>
        <w:rPr>
          <w:b/>
          <w:bCs w:val="false"/>
          <w:color w:val="FF0000"/>
          <w:sz w:val="28"/>
        </w:rPr>
        <w:t xml:space="preserve"> </w:t>
      </w:r>
      <w:r>
        <w:rPr>
          <w:b/>
          <w:bCs w:val="false"/>
          <w:color w:val="FF0000"/>
          <w:sz w:val="28"/>
        </w:rPr>
        <w:t xml:space="preserve">     </w:t>
      </w:r>
      <w:r>
        <w:rPr>
          <w:rFonts w:ascii="Arial" w:hAnsi="Arial" w:cs="Arial"/>
          <w:b/>
          <w:b/>
          <w:bCs w:val="false"/>
        </w:rPr>
        <w:t xml:space="preserve">วัตถุดิบที่ใช้ในการผลิตสินค้าโดยตรง และเป็นส่วนสำคัญที่คิด    </w:t>
      </w:r>
      <w:r>
        <w:rPr>
          <w:rFonts w:cs="Arial" w:ascii="Arial" w:hAnsi="Arial"/>
          <w:b/>
          <w:bCs w:val="false"/>
        </w:rPr>
        <w:br/>
        <w:t xml:space="preserve">                                                                </w:t>
      </w:r>
      <w:r>
        <w:rPr>
          <w:rFonts w:ascii="Arial" w:hAnsi="Arial" w:cs="Arial"/>
          <w:b/>
          <w:b/>
          <w:bCs w:val="false"/>
        </w:rPr>
        <w:t xml:space="preserve">เป็นต้นทุนของหน่วยที่ผลิต </w:t>
      </w:r>
      <w:r>
        <w:rPr>
          <w:b/>
          <w:b/>
          <w:bCs w:val="false"/>
        </w:rPr>
        <w:t>หรือประกอบเป็นสินค้าสําเร็จรูป</w:t>
      </w:r>
    </w:p>
    <w:p>
      <w:pPr>
        <w:pStyle w:val="Normal"/>
        <w:ind w:hanging="360" w:start="-180" w:end="0"/>
        <w:jc w:val="start"/>
        <w:rPr>
          <w:b/>
          <w:bCs w:val="false"/>
          <w:color w:val="FF0000"/>
        </w:rPr>
      </w:pPr>
      <w:r>
        <w:rPr>
          <w:sz w:val="28"/>
        </w:rPr>
        <w:tab/>
      </w:r>
      <w:r>
        <w:rPr>
          <w:lang w:val="en-US"/>
        </w:rPr>
        <w:t>First in First Out (FIFO)</w:t>
      </w:r>
      <w:r>
        <w:rPr>
          <w:b/>
          <w:bCs w:val="false"/>
          <w:sz w:val="28"/>
        </w:rPr>
        <w:tab/>
      </w:r>
      <w:r>
        <w:rPr>
          <w:b/>
          <w:b/>
          <w:bCs w:val="false"/>
          <w:sz w:val="28"/>
          <w:sz w:val="28"/>
        </w:rPr>
        <w:t>หมายถึง</w:t>
      </w:r>
      <w:r>
        <w:rPr>
          <w:b/>
          <w:b/>
          <w:bCs w:val="false"/>
          <w:color w:val="FF0000"/>
          <w:sz w:val="28"/>
          <w:sz w:val="28"/>
        </w:rPr>
        <w:t xml:space="preserve"> </w:t>
      </w:r>
      <w:r>
        <w:rPr>
          <w:b/>
          <w:b/>
          <w:bCs w:val="false"/>
        </w:rPr>
        <w:t xml:space="preserve">     การควบคุมกระบวนการโดยหลักการเข้าก่อน ออกก่อน</w:t>
      </w:r>
    </w:p>
    <w:p>
      <w:pPr>
        <w:pStyle w:val="Normal"/>
        <w:ind w:hanging="360" w:start="-180" w:end="0"/>
        <w:jc w:val="start"/>
        <w:rPr>
          <w:rFonts w:cs="AngsanaUPC"/>
          <w:b/>
          <w:bCs w:val="false"/>
          <w:sz w:val="28"/>
          <w:lang w:val="en-US"/>
        </w:rPr>
      </w:pPr>
      <w:r>
        <w:rPr>
          <w:b/>
          <w:bCs w:val="false"/>
          <w:sz w:val="28"/>
        </w:rPr>
        <w:tab/>
      </w:r>
      <w:r>
        <w:rPr>
          <w:b/>
          <w:b/>
          <w:bCs w:val="false"/>
          <w:sz w:val="28"/>
          <w:sz w:val="28"/>
        </w:rPr>
        <w:t xml:space="preserve">ระเบียบปฏิบัติ  </w:t>
      </w:r>
      <w:r>
        <w:rPr>
          <w:b/>
          <w:bCs w:val="false"/>
          <w:sz w:val="28"/>
        </w:rPr>
        <w:tab/>
        <w:tab/>
      </w:r>
      <w:r>
        <w:rPr>
          <w:b/>
          <w:b/>
          <w:bCs w:val="false"/>
          <w:sz w:val="28"/>
          <w:sz w:val="28"/>
        </w:rPr>
        <w:t>หมายถึง</w:t>
      </w:r>
      <w:r>
        <w:rPr>
          <w:sz w:val="28"/>
          <w:sz w:val="28"/>
        </w:rPr>
        <w:t xml:space="preserve"> </w:t>
      </w:r>
      <w:r>
        <w:rPr>
          <w:b/>
          <w:b/>
          <w:bCs w:val="false"/>
          <w:sz w:val="28"/>
          <w:sz w:val="28"/>
        </w:rPr>
        <w:t xml:space="preserve">  ระเบียบวิธีการปฎิบัติงานให้ถูกต้อง</w:t>
      </w:r>
      <w:r>
        <w:rPr>
          <w:rFonts w:cs="AngsanaUPC"/>
          <w:b/>
          <w:b/>
          <w:bCs w:val="false"/>
          <w:sz w:val="28"/>
          <w:sz w:val="28"/>
          <w:lang w:val="en-US"/>
        </w:rPr>
        <w:t>ตามลำดับการขั้นตอนการ</w:t>
      </w:r>
      <w:r>
        <w:rPr>
          <w:rFonts w:cs="AngsanaUPC"/>
          <w:b/>
          <w:bCs w:val="false"/>
          <w:sz w:val="28"/>
          <w:lang w:val="en-US"/>
        </w:rPr>
        <w:br/>
      </w:r>
      <w:r>
        <w:rPr>
          <w:rFonts w:cs="AngsanaUPC"/>
          <w:b/>
          <w:bCs w:val="false"/>
          <w:sz w:val="28"/>
          <w:lang w:val="en-US"/>
        </w:rPr>
        <w:t xml:space="preserve">                                                                  </w:t>
      </w:r>
      <w:r>
        <w:rPr>
          <w:rFonts w:cs="AngsanaUPC"/>
          <w:b/>
          <w:b/>
          <w:bCs w:val="false"/>
          <w:sz w:val="28"/>
          <w:sz w:val="28"/>
          <w:lang w:val="en-US"/>
        </w:rPr>
        <w:t>ทำงานก่อนและหลัง</w:t>
      </w:r>
      <w:r>
        <w:rPr>
          <w:rFonts w:eastAsia="Angsana New"/>
          <w:b/>
          <w:b/>
          <w:bCs w:val="false"/>
          <w:sz w:val="28"/>
          <w:sz w:val="28"/>
          <w:lang w:val="en-US"/>
        </w:rPr>
        <w:t xml:space="preserve"> </w:t>
      </w:r>
      <w:r>
        <w:rPr>
          <w:rFonts w:cs="AngsanaUPC"/>
          <w:b/>
          <w:b/>
          <w:bCs w:val="false"/>
          <w:sz w:val="28"/>
          <w:sz w:val="28"/>
          <w:lang w:val="en-US"/>
        </w:rPr>
        <w:t>วิธีการดำเนินงานในแต่ละส่วนที่เกี่ยวข้องกับการ</w:t>
      </w:r>
      <w:r>
        <w:rPr>
          <w:rFonts w:cs="AngsanaUPC"/>
          <w:b/>
          <w:bCs w:val="false"/>
          <w:sz w:val="28"/>
          <w:lang w:val="en-US"/>
        </w:rPr>
        <w:br/>
      </w:r>
      <w:r>
        <w:rPr>
          <w:rFonts w:cs="AngsanaUPC"/>
          <w:b/>
          <w:bCs w:val="false"/>
          <w:sz w:val="28"/>
          <w:lang w:val="en-US"/>
        </w:rPr>
        <w:t xml:space="preserve">                                                               </w:t>
      </w:r>
      <w:r>
        <w:rPr>
          <w:rFonts w:cs="AngsanaUPC"/>
          <w:b/>
          <w:b/>
          <w:bCs w:val="false"/>
          <w:sz w:val="28"/>
          <w:sz w:val="28"/>
          <w:lang w:val="en-US"/>
        </w:rPr>
        <w:t>ผลิตผลิตภัณฑ์</w:t>
      </w:r>
    </w:p>
    <w:p>
      <w:pPr>
        <w:pStyle w:val="Normal"/>
        <w:ind w:hanging="2340" w:start="2160" w:end="0"/>
        <w:jc w:val="start"/>
        <w:rPr>
          <w:b/>
          <w:bCs w:val="false"/>
          <w:sz w:val="28"/>
          <w:lang w:val="en-US"/>
        </w:rPr>
      </w:pPr>
      <w:r>
        <w:rPr>
          <w:b/>
          <w:b/>
          <w:bCs w:val="false"/>
          <w:sz w:val="28"/>
          <w:sz w:val="28"/>
        </w:rPr>
        <w:t xml:space="preserve">การตรวจสอบ </w:t>
      </w:r>
      <w:r>
        <w:rPr>
          <w:b/>
          <w:bCs w:val="false"/>
          <w:sz w:val="28"/>
        </w:rPr>
        <w:tab/>
      </w:r>
      <w:r>
        <w:rPr>
          <w:b/>
          <w:b/>
          <w:bCs w:val="false"/>
          <w:sz w:val="28"/>
          <w:sz w:val="28"/>
        </w:rPr>
        <w:t xml:space="preserve">หมายถึง </w:t>
      </w:r>
      <w:r>
        <w:rPr>
          <w:b/>
          <w:b/>
          <w:bCs w:val="false"/>
          <w:sz w:val="28"/>
          <w:sz w:val="28"/>
          <w:lang w:val="en-US"/>
        </w:rPr>
        <w:t xml:space="preserve">  ผลสรุปของผลิตภัณฑ์ที่ผลิตออกมา  ได้ตามมาตรฐานที่ตั้งไว้  </w:t>
      </w:r>
      <w:r>
        <w:rPr>
          <w:b/>
          <w:bCs w:val="false"/>
          <w:sz w:val="28"/>
          <w:lang w:val="en-US"/>
        </w:rPr>
        <w:br/>
        <w:t xml:space="preserve">                    </w:t>
      </w:r>
      <w:r>
        <w:rPr>
          <w:b/>
          <w:b/>
          <w:bCs w:val="false"/>
          <w:sz w:val="28"/>
          <w:sz w:val="28"/>
          <w:lang w:val="en-US"/>
        </w:rPr>
        <w:t>หรือไม่ไม่ว่าจะเป็นเรื่องของขนาด น้ำหนัก สี เป็นต้น</w:t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</w:r>
    </w:p>
    <w:p>
      <w:pPr>
        <w:pStyle w:val="Normal"/>
        <w:ind w:hanging="360" w:start="-180" w:end="0"/>
        <w:rPr>
          <w:lang w:val="en-US"/>
        </w:rPr>
      </w:pPr>
      <w:r>
        <w:rPr>
          <w:sz w:val="28"/>
        </w:rPr>
        <w:t>4.</w:t>
        <w:tab/>
        <w:t>เอกสารอ้างอิง     ข้อกำหนด ISO 9001:2026</w:t>
      </w:r>
      <w:r>
        <w:rPr>
          <w:lang w:val="en-US"/>
        </w:rPr>
      </w:r>
      <w:bookmarkStart w:id="0" w:name="OLE_LINK2"/>
      <w:bookmarkStart w:id="1" w:name="OLE_LINK1"/>
      <w:r>
        <w:rPr>
          <w:lang w:val="en-US"/>
        </w:rPr>
      </w:r>
      <w:r>
        <w:rPr>
          <w:lang w:val="en-US"/>
        </w:rPr>
      </w:r>
      <w:r>
        <w:rPr>
          <w:b/>
          <w:b/>
          <w:bCs w:val="false"/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Normal"/>
        <w:ind w:start="426" w:end="0"/>
        <w:rPr>
          <w:b/>
          <w:bCs w:val="false"/>
          <w:sz w:val="30"/>
          <w:szCs w:val="30"/>
          <w:lang w:val="en-US"/>
        </w:rPr>
      </w:pPr>
      <w:r>
        <w:rPr>
          <w:b/>
          <w:bCs w:val="false"/>
          <w:sz w:val="30"/>
          <w:szCs w:val="30"/>
          <w:lang w:val="en-US"/>
        </w:rPr>
        <w:t>8.5.4</w:t>
        <w:tab/>
        <w:t>Preservation การถนอมรักษา</w:t>
      </w:r>
      <w:r>
        <w:rPr>
          <w:sz w:val="30"/>
          <w:szCs w:val="30"/>
          <w:lang w:val="en-US"/>
        </w:rPr>
      </w:r>
      <w:r>
        <w:rPr>
          <w:b/>
          <w:bCs w:val="false"/>
          <w:sz w:val="30"/>
          <w:szCs w:val="30"/>
          <w:lang w:val="en-US"/>
        </w:rPr>
      </w:r>
      <w:r>
        <w:rPr>
          <w:b/>
          <w:b/>
          <w:bCs w:val="false"/>
          <w:sz w:val="30"/>
          <w:sz w:val="30"/>
          <w:szCs w:val="30"/>
          <w:lang w:val="en-US"/>
        </w:rPr>
      </w:r>
    </w:p>
    <w:p>
      <w:pPr>
        <w:pStyle w:val="Normal"/>
        <w:ind w:start="426" w:end="0"/>
        <w:rPr>
          <w:b/>
          <w:bCs w:val="false"/>
          <w:sz w:val="30"/>
          <w:szCs w:val="30"/>
        </w:rPr>
      </w:pPr>
      <w:r>
        <w:rPr>
          <w:sz w:val="30"/>
          <w:szCs w:val="30"/>
        </w:rPr>
        <w:t>8.7</w:t>
        <w:tab/>
        <w:tab/>
        <w:t>Control of nonconforming outputs การควบคุมผลลัพธ์ที่ไม่เป็นไปตามข้อกำหนด</w:t>
      </w:r>
      <w:r>
        <w:rPr>
          <w:sz w:val="30"/>
          <w:szCs w:val="30"/>
        </w:rPr>
      </w:r>
      <w:r>
        <w:rPr>
          <w:b/>
          <w:b/>
          <w:bCs w:val="false"/>
          <w:sz w:val="30"/>
          <w:sz w:val="30"/>
          <w:szCs w:val="30"/>
        </w:rPr>
      </w:r>
    </w:p>
    <w:p>
      <w:pPr>
        <w:pStyle w:val="Normal"/>
        <w:ind w:start="-180" w:end="0"/>
        <w:rPr>
          <w:b/>
          <w:bCs w:val="false"/>
          <w:sz w:val="30"/>
          <w:szCs w:val="30"/>
        </w:rPr>
      </w:pPr>
      <w:r>
        <w:rPr>
          <w:b/>
          <w:bCs w:val="false"/>
          <w:sz w:val="30"/>
          <w:szCs w:val="30"/>
        </w:rPr>
      </w:r>
    </w:p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lang w:val="en-US"/>
        </w:rPr>
        <w:t>5.</w:t>
      </w:r>
      <w:r>
        <w:rPr>
          <w:lang w:val="en-US"/>
        </w:rPr>
        <w:tab/>
      </w:r>
      <w:r>
        <w:rPr>
          <w:lang w:val="en-US"/>
        </w:rPr>
        <w:t>ขั้นตอนการปฏิบัติงาน</w:t>
      </w:r>
    </w:p>
    <w:p>
      <w:pPr>
        <w:pStyle w:val="XX"/>
        <w:rPr/>
      </w:pPr>
      <w:r>
        <w:rPr/>
        <w:tab/>
      </w:r>
      <w:r>
        <w:rPr/>
        <w:t>5.1</w:t>
        <w:tab/>
      </w:r>
      <w:r>
        <w:rPr/>
        <w:t>จัดให้มีการอบรมพนักงาน ก่อนเริ่มทำงาน โดยหัวหน้างานเสมอ</w:t>
      </w:r>
    </w:p>
    <w:p>
      <w:pPr>
        <w:pStyle w:val="XX"/>
        <w:rPr/>
      </w:pPr>
      <w:r>
        <w:rPr>
          <w:b/>
          <w:bCs/>
        </w:rPr>
        <w:tab/>
      </w:r>
      <w:r>
        <w:rPr>
          <w:b/>
          <w:b/>
          <w:bCs/>
        </w:rPr>
        <w:t>การรับ ตรวจรับและควบคุมวัตถุดิบ</w:t>
      </w:r>
    </w:p>
    <w:p>
      <w:pPr>
        <w:pStyle w:val="XX"/>
        <w:rPr/>
      </w:pPr>
      <w:r>
        <w:rPr/>
        <w:tab/>
      </w:r>
      <w:r>
        <w:rPr/>
        <w:t>5.2</w:t>
        <w:tab/>
      </w:r>
      <w:r>
        <w:rPr/>
        <w:t>วัตถุดิบที่ส่งมอบจากผู้ขายจะถูกรับโดยเจ้าหน้าที่สโตร์ โดยเจ้าหน้าที่จะทำการรับวัตถุดิบทั้งหมด โดยตรวจเช็คจำนวนจากใบส่งของ</w:t>
      </w:r>
      <w:r>
        <w:rPr/>
        <w:t xml:space="preserve">, </w:t>
      </w:r>
      <w:r>
        <w:rPr/>
        <w:t xml:space="preserve">ใบกำกับภาษี หรือเอกสารการส่งมอบสินค้าอื่น ๆ วัตถุดิบที่รับจะถูกนำไปไว้ในพื้นที่รอการตรวจสอบจากเจ้าหน้าที่ควบคุมคุณภาพ </w:t>
      </w:r>
    </w:p>
    <w:p>
      <w:pPr>
        <w:pStyle w:val="XX"/>
        <w:rPr/>
      </w:pPr>
      <w:r>
        <w:rPr/>
        <w:tab/>
      </w:r>
      <w:r>
        <w:rPr/>
        <w:t>5.3</w:t>
        <w:tab/>
      </w:r>
      <w:r>
        <w:rPr/>
        <w:t>เจ้าหน้าที่ควบคุมคุณภาพ ดำเนินการตรวจรับวัตถุดิบ โดยตรวจสอบรายการวัตถุดิบจากใบส่งสินค้า ชนิดวัถตุดิบ</w:t>
      </w:r>
      <w:r>
        <w:rPr/>
        <w:t xml:space="preserve">, </w:t>
      </w:r>
      <w:r>
        <w:rPr/>
        <w:t>จำนวน และทำการทวนสอบบันทึกการตรวจสอบคุณภาพวัตถุดิบจากผู้ขายว่าได้ตามมาตรฐานของผลิตภัณฑ์หรือไม่ หากไม่มีเอกสารผลการตรวจมาด้วย ให้ติดต่อผู้ขาย เพื่อขอข้อมูลผลการตรวจสอบคุณภาพในล็อตการผลิตนั้น และทำการตรวจสอบภายนอกด้วยสายตา บรรจุภัณฑ์ ต้องไม่มีความเสียหาย</w:t>
      </w:r>
    </w:p>
    <w:p>
      <w:pPr>
        <w:pStyle w:val="XX"/>
        <w:rPr/>
      </w:pPr>
      <w:r>
        <w:rPr/>
        <w:tab/>
      </w:r>
      <w:r>
        <w:rPr/>
        <w:t>5.4</w:t>
        <w:tab/>
      </w:r>
      <w:r>
        <w:rPr/>
        <w:t xml:space="preserve">เมื่อผลการตรวจสอบผ่าน ให้เจ้าหน้าที่ควบคุมคุณภาพ ประทับตรา </w:t>
      </w:r>
      <w:r>
        <w:rPr/>
        <w:t xml:space="preserve">QC Pass </w:t>
      </w:r>
      <w:r>
        <w:rPr/>
        <w:t xml:space="preserve">ที่ป้ายชี้บ่ง และเก็บบันทึกผลการตรวจรับวัตถุดิบที่ได้รับจากผู้ขายเป็นหลักฐานาการตรวจ หากพบว่าผลิตภัณฑ์ไม่เป็นไปตามข้อกำหนดจะดำเนินการตาม </w:t>
      </w:r>
      <w:r>
        <w:rPr/>
        <w:t xml:space="preserve">QP-QA-02 </w:t>
      </w:r>
      <w:r>
        <w:rPr/>
        <w:t>ระเบียบปฏิบัติเรื่องการควบคุมผลิตภัณฑ์ที่ไม่เป็นไปตามข้อกำหนด</w:t>
      </w:r>
    </w:p>
    <w:p>
      <w:pPr>
        <w:pStyle w:val="XX"/>
        <w:rPr/>
      </w:pPr>
      <w:r>
        <w:rPr/>
        <w:tab/>
      </w:r>
      <w:r>
        <w:rPr/>
        <w:t>5.5.</w:t>
        <w:tab/>
      </w:r>
      <w:r>
        <w:rPr/>
        <w:t>เจ้าหน้าที่สโตร์ทำการตรวจสอบป้ายชี้บ่งว่าผ่านการตรวจรับวัตถุดิบแล้ว นำวัตถุดิบเข้าสู่พื้นที่จัดเก็บตามพื้นที่ที่กำหนด และลงบันทึก การรับวัตถุดิบใน สต๊อกการ์ด</w:t>
      </w:r>
    </w:p>
    <w:p>
      <w:pPr>
        <w:pStyle w:val="XX"/>
        <w:rPr/>
      </w:pPr>
      <w:r>
        <w:rPr/>
        <w:tab/>
      </w:r>
      <w:r>
        <w:rPr/>
        <w:t xml:space="preserve">5.6 </w:t>
        <w:tab/>
      </w:r>
      <w:r>
        <w:rPr/>
        <w:t xml:space="preserve">เจ้าหน้าที่สโตร์ทำการควบคุม </w:t>
      </w:r>
      <w:r>
        <w:rPr/>
        <w:t xml:space="preserve">FIFO </w:t>
      </w:r>
      <w:r>
        <w:rPr/>
        <w:t xml:space="preserve">เป็นรายไตรมาส โดยกำหนดสี </w:t>
      </w:r>
      <w:r>
        <w:rPr/>
        <w:t xml:space="preserve">4 </w:t>
      </w:r>
      <w:r>
        <w:rPr/>
        <w:t xml:space="preserve">สี </w:t>
      </w:r>
      <w:r>
        <w:rPr>
          <w:b/>
          <w:b/>
          <w:bCs/>
        </w:rPr>
        <w:t>คือ เขียว</w:t>
      </w:r>
      <w:r>
        <w:rPr>
          <w:b/>
          <w:bCs/>
        </w:rPr>
        <w:t xml:space="preserve">, </w:t>
      </w:r>
      <w:r>
        <w:rPr>
          <w:b/>
          <w:b/>
          <w:bCs/>
        </w:rPr>
        <w:t>เหลือง</w:t>
      </w:r>
      <w:r>
        <w:rPr>
          <w:b/>
          <w:bCs/>
        </w:rPr>
        <w:t xml:space="preserve">, </w:t>
      </w:r>
      <w:r>
        <w:rPr>
          <w:b/>
          <w:b/>
          <w:bCs/>
        </w:rPr>
        <w:t>ส้ม</w:t>
      </w:r>
      <w:r>
        <w:rPr>
          <w:b/>
          <w:bCs/>
        </w:rPr>
        <w:t xml:space="preserve">, </w:t>
      </w:r>
      <w:r>
        <w:rPr>
          <w:b/>
          <w:b/>
          <w:bCs/>
        </w:rPr>
        <w:t>และชมพู</w:t>
      </w:r>
      <w:r>
        <w:rPr/>
        <w:t xml:space="preserve"> วนไปตามรอบทุก </w:t>
      </w:r>
      <w:r>
        <w:rPr/>
        <w:t xml:space="preserve">3 </w:t>
      </w:r>
      <w:r>
        <w:rPr/>
        <w:t>เดือน</w:t>
      </w:r>
    </w:p>
    <w:p>
      <w:pPr>
        <w:pStyle w:val="XX"/>
        <w:rPr/>
      </w:pPr>
      <w:r>
        <w:rPr/>
        <w:tab/>
      </w:r>
      <w:r>
        <w:rPr/>
        <w:t>5.7</w:t>
        <w:tab/>
      </w:r>
      <w:r>
        <w:rPr/>
        <w:t xml:space="preserve">การจ่ายวัตถุดิบ เจ้าหน้าที่สโตร์จะทำการจ่ายวัถตุดิบ ตามแผนการผลิตประจำวัน และลงบันทึกการตัดจ่ายแต่ละวันว่ามีการเบิกวัตถุดิบจำนวนเท่าใด ในบันทึกไฟล์ </w:t>
      </w:r>
      <w:r>
        <w:rPr/>
        <w:t xml:space="preserve">excel </w:t>
      </w:r>
      <w:r>
        <w:rPr/>
        <w:t>ประจำวัน</w:t>
      </w:r>
      <w:r>
        <w:rPr/>
        <w:t xml:space="preserve"> </w:t>
      </w:r>
      <w:r>
        <w:rPr/>
        <w:t>(FM-ST-002)</w:t>
      </w:r>
      <w:r>
        <w:rPr/>
        <w:t xml:space="preserve"> </w:t>
      </w:r>
      <w:r>
        <w:rPr/>
        <w:t>และทำการอัพเดท สต๊อกการ์ด</w:t>
      </w:r>
      <w:bookmarkEnd w:id="0"/>
      <w:bookmarkEnd w:id="1"/>
      <w:r>
        <w:rPr/>
        <w:t xml:space="preserve"> </w:t>
      </w:r>
      <w:r>
        <w:rPr/>
        <w:t>(FM-ST-001)</w:t>
      </w:r>
    </w:p>
    <w:p>
      <w:pPr>
        <w:pStyle w:val="XX"/>
        <w:rPr/>
      </w:pPr>
      <w:r>
        <w:rPr/>
        <w:tab/>
      </w:r>
      <w:r>
        <w:rPr/>
        <w:t>5.8</w:t>
      </w:r>
      <w:r>
        <w:rPr/>
        <w:tab/>
      </w:r>
      <w:r>
        <w:rPr/>
        <w:t>สินค้า</w:t>
      </w:r>
      <w:r>
        <w:rPr/>
        <w:t>,</w:t>
      </w:r>
      <w:r>
        <w:rPr/>
        <w:t xml:space="preserve"> </w:t>
      </w:r>
      <w:r>
        <w:rPr/>
        <w:t xml:space="preserve">ผลิตภัณฑ์ที่ไม่เป็นไปตามข้อกำหนดจะมีการควบคุมตาม </w:t>
      </w:r>
      <w:r>
        <w:rPr/>
        <w:t xml:space="preserve">QP-QA-004 </w:t>
      </w:r>
      <w:r>
        <w:rPr/>
        <w:t>ระเบียบปฏิบัติเรื่องการควบคุมผลิตภัณฑ์ที่ไม่เป็นไปตามข้อกำหนด</w:t>
      </w:r>
    </w:p>
    <w:p>
      <w:pPr>
        <w:pStyle w:val="XX"/>
        <w:rPr/>
      </w:pPr>
      <w:r>
        <w:rPr/>
      </w:r>
    </w:p>
    <w:p>
      <w:pPr>
        <w:pStyle w:val="XX"/>
        <w:rPr/>
      </w:pPr>
      <w:r>
        <w:rPr/>
        <w:tab/>
      </w:r>
      <w:r>
        <w:rPr/>
        <w:t>การรับสินค้าสำเร็จรูป ควบคุมสินค้าสำเร็จรูป และจัดส่ง</w:t>
      </w:r>
    </w:p>
    <w:p>
      <w:pPr>
        <w:pStyle w:val="XX"/>
        <w:rPr/>
      </w:pPr>
      <w:r>
        <w:rPr/>
        <w:tab/>
      </w:r>
      <w:r>
        <w:rPr/>
        <w:t>5.9</w:t>
        <w:tab/>
      </w:r>
      <w:r>
        <w:rPr/>
        <w:t xml:space="preserve">เจ้าหน้าที่สโตร์รับสินค้าที่ บรรจุลงในบรรจุภัณฑ์เรียบร้อยแล้ว โดยทำการตรวจสอบป้ายชี้บ่ง ดูสถานะการตรวจสอบ ก่อนนำเข้าพื้นที่จัดเก็บ และทำการอัพเดทสต๊อกการ์ด </w:t>
      </w:r>
      <w:r>
        <w:rPr/>
        <w:t xml:space="preserve">(FM-ST-002) </w:t>
      </w:r>
    </w:p>
    <w:p>
      <w:pPr>
        <w:pStyle w:val="XX"/>
        <w:rPr/>
      </w:pPr>
      <w:r>
        <w:rPr/>
        <w:tab/>
        <w:t>5.10</w:t>
        <w:tab/>
      </w:r>
      <w:r>
        <w:rPr/>
        <w:t xml:space="preserve">เจ้าหน้าที่สโตร์ ทำการจัดเตรียมส่งมอบสินค้าตามแผนการส่งมอบที่ได้รับจากหน่วยงานควบคุมการผลิต พร้อมใบส่งของ หรือ </w:t>
      </w:r>
      <w:r>
        <w:rPr/>
        <w:t xml:space="preserve">Invoice </w:t>
      </w:r>
      <w:r>
        <w:rPr/>
        <w:t>เพื่อให้ลูกค้าลงนามและนำกลับมา</w:t>
      </w:r>
    </w:p>
    <w:p>
      <w:pPr>
        <w:pStyle w:val="XX"/>
        <w:rPr/>
      </w:pPr>
      <w:r>
        <w:rPr/>
        <w:tab/>
      </w:r>
      <w:r>
        <w:rPr/>
        <w:t>5.11</w:t>
      </w:r>
      <w:r>
        <w:rPr/>
        <w:tab/>
      </w:r>
      <w:r>
        <w:rPr/>
        <w:t>สินค้า</w:t>
      </w:r>
      <w:r>
        <w:rPr/>
        <w:t>,</w:t>
      </w:r>
      <w:r>
        <w:rPr/>
        <w:t xml:space="preserve"> </w:t>
      </w:r>
      <w:r>
        <w:rPr/>
        <w:t xml:space="preserve">ผลิตภัณฑ์ที่ไม่เป็นไปตามข้อกำหนดจะมีการควบคุมตาม </w:t>
      </w:r>
      <w:r>
        <w:rPr/>
        <w:t xml:space="preserve">QP-QA-02 </w:t>
      </w:r>
      <w:r>
        <w:rPr/>
        <w:t>ระเบียบปฏิบัติเรื่องการควบคุมผลิตภัณฑ์ที่ไม่เป็นไปตามข้อกำหนด</w:t>
      </w:r>
    </w:p>
    <w:p>
      <w:pPr>
        <w:pStyle w:val="XX"/>
        <w:rPr/>
      </w:pPr>
      <w:r>
        <w:rPr/>
      </w:r>
    </w:p>
    <w:p>
      <w:pPr>
        <w:pStyle w:val="Normal"/>
        <w:ind w:hanging="360" w:start="-180" w:end="0"/>
        <w:rPr>
          <w:lang w:val="en-US"/>
        </w:rPr>
      </w:pPr>
      <w:r>
        <w:rPr>
          <w:b/>
          <w:bCs w:val="false"/>
          <w:lang w:val="en-US"/>
        </w:rPr>
        <w:t>6.</w:t>
      </w:r>
      <w:r>
        <w:rPr>
          <w:lang w:val="en-US"/>
        </w:rPr>
        <w:tab/>
      </w:r>
      <w:r>
        <w:rPr>
          <w:b/>
          <w:b/>
          <w:bCs w:val="false"/>
          <w:lang w:val="en-US"/>
        </w:rPr>
        <w:t>บันทึกคุณภาพ</w:t>
      </w:r>
      <w:r>
        <w:rPr>
          <w:b/>
          <w:bCs w:val="false"/>
          <w:lang w:val="en-US"/>
        </w:rPr>
        <w:tab/>
      </w:r>
    </w:p>
    <w:tbl>
      <w:tblPr>
        <w:tblW w:w="10038" w:type="dxa"/>
        <w:jc w:val="start"/>
        <w:tblInd w:w="-43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88"/>
        <w:gridCol w:w="3852"/>
        <w:gridCol w:w="1312"/>
        <w:gridCol w:w="1134"/>
        <w:gridCol w:w="1418"/>
        <w:gridCol w:w="1134"/>
      </w:tblGrid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รหัสเอกสาร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ชื่อเอกสาร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อายุการจัดเก็บ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ผู้จัดเก็บ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ผู้อนุมัติทำลาย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b/>
                <w:bCs w:val="false"/>
                <w:sz w:val="28"/>
                <w:szCs w:val="28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</w:rPr>
              <w:t>การทำลาย</w:t>
            </w:r>
          </w:p>
        </w:tc>
      </w:tr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Cs w:val="false"/>
                <w:sz w:val="28"/>
                <w:szCs w:val="28"/>
              </w:rPr>
            </w:pPr>
            <w:bookmarkStart w:id="2" w:name="OLE_LINK36"/>
            <w:bookmarkStart w:id="3" w:name="OLE_LINK35"/>
            <w:bookmarkStart w:id="4" w:name="_Hlk408824660"/>
            <w:bookmarkStart w:id="5" w:name="OLE_LINK13"/>
            <w:bookmarkStart w:id="6" w:name="OLE_LINK12"/>
            <w:bookmarkEnd w:id="2"/>
            <w:bookmarkEnd w:id="3"/>
            <w:bookmarkEnd w:id="4"/>
            <w:bookmarkEnd w:id="5"/>
            <w:bookmarkEnd w:id="6"/>
            <w:r>
              <w:rPr>
                <w:bCs w:val="false"/>
                <w:sz w:val="28"/>
                <w:szCs w:val="28"/>
              </w:rPr>
              <w:t>-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540" w:leader="none"/>
              </w:tabs>
              <w:jc w:val="start"/>
              <w:rPr>
                <w:bCs w:val="false"/>
                <w:sz w:val="28"/>
                <w:szCs w:val="28"/>
                <w:lang w:val="en-US"/>
              </w:rPr>
            </w:pPr>
            <w:r>
              <w:rPr>
                <w:bCs w:val="false"/>
                <w:sz w:val="28"/>
                <w:sz w:val="28"/>
                <w:szCs w:val="28"/>
                <w:lang w:val="en-US"/>
              </w:rPr>
              <w:t xml:space="preserve">ใบส่งของ </w:t>
            </w:r>
            <w:r>
              <w:rPr>
                <w:bCs w:val="false"/>
                <w:sz w:val="28"/>
                <w:szCs w:val="28"/>
                <w:lang w:val="en-US"/>
              </w:rPr>
              <w:t xml:space="preserve">/ </w:t>
            </w:r>
            <w:r>
              <w:rPr>
                <w:bCs w:val="false"/>
                <w:sz w:val="28"/>
                <w:sz w:val="28"/>
                <w:szCs w:val="28"/>
                <w:lang w:val="en-US"/>
              </w:rPr>
              <w:t>ใบกำกับภาษี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b/>
                <w:bCs w:val="false"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ปี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Mgr.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Cs w:val="false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US"/>
              </w:rPr>
            </w:pP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บันทึกการตรวจสอบวัตถุดิบจากลูกค้า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b/>
                <w:bCs w:val="false"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ปี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QA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Mgr.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Cs w:val="false"/>
                <w:sz w:val="28"/>
                <w:szCs w:val="28"/>
                <w:lang w:val="en-US"/>
              </w:rPr>
            </w:pPr>
            <w:r>
              <w:rPr>
                <w:bCs w:val="false"/>
                <w:sz w:val="28"/>
                <w:szCs w:val="28"/>
                <w:lang w:val="en-US"/>
              </w:rPr>
              <w:t>FM-ST-001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Stock card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b/>
                <w:bCs w:val="false"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ปี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Mgr.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Recycle</w:t>
            </w:r>
          </w:p>
        </w:tc>
      </w:tr>
      <w:tr>
        <w:trPr/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Cs w:val="false"/>
                <w:sz w:val="28"/>
                <w:szCs w:val="28"/>
                <w:lang w:val="en-US"/>
              </w:rPr>
            </w:pPr>
            <w:r>
              <w:rPr>
                <w:bCs w:val="false"/>
                <w:sz w:val="28"/>
                <w:szCs w:val="28"/>
                <w:lang w:val="en-US"/>
              </w:rPr>
              <w:t>FM-ST-002</w:t>
            </w:r>
          </w:p>
        </w:tc>
        <w:tc>
          <w:tcPr>
            <w:tcW w:w="3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Stock (</w:t>
            </w: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บันทึกการรับจ่ายวัตถุดิบ</w:t>
            </w:r>
            <w:r>
              <w:rPr>
                <w:b/>
                <w:bCs w:val="false"/>
                <w:sz w:val="28"/>
                <w:szCs w:val="28"/>
                <w:lang w:val="en-US"/>
              </w:rPr>
              <w:t>)</w:t>
            </w:r>
          </w:p>
        </w:tc>
        <w:tc>
          <w:tcPr>
            <w:tcW w:w="13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bCs w:val="false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b/>
                <w:bCs w:val="false"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/>
                <w:bCs w:val="false"/>
                <w:sz w:val="28"/>
                <w:sz w:val="28"/>
                <w:szCs w:val="28"/>
                <w:lang w:val="en-US"/>
              </w:rPr>
              <w:t>ปี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Mgr.</w:t>
            </w:r>
          </w:p>
        </w:tc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-3" w:end="0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Recycle</w:t>
            </w:r>
          </w:p>
        </w:tc>
      </w:tr>
    </w:tbl>
    <w:p>
      <w:pPr>
        <w:pStyle w:val="Normal"/>
        <w:ind w:hanging="360" w:start="-180" w:end="0"/>
        <w:rPr>
          <w:b/>
          <w:bCs w:val="false"/>
          <w:sz w:val="28"/>
          <w:lang w:val="en-US"/>
        </w:rPr>
      </w:pPr>
      <w:r>
        <w:rPr>
          <w:b/>
          <w:bCs w:val="false"/>
          <w:sz w:val="28"/>
          <w:lang w:val="en-US"/>
        </w:rPr>
      </w:r>
    </w:p>
    <w:p>
      <w:r>
        <w:br w:type="page"/>
      </w:r>
    </w:p>
    <w:p>
      <w:r>
        <w:rPr>
          <w:b/>
          <w:bCs/>
          <w:color w:val="14213D"/>
          <w:sz w:val="40"/>
          <w:szCs w:val="40"/>
        </w:rPr>
        <w:t xml:space="preserve">เอกสารนี้เผยแพร่โดย EQA Thailand</w:t>
      </w:r>
    </w:p>
    <w:p>
      <w:r>
        <w:rPr>
          <w:sz w:val="28"/>
          <w:szCs w:val="28"/>
        </w:rPr>
        <w:t xml:space="preserve">บริษัท อีควอล แอสชัวแรนซ์ (ประเทศไทย) จำกัด — หน่วยรับรองระบบ ISO 9001, ISO 14001, ISO 45001, ISO 22000, ISO/IEC 27001 และ GHPs/HACCP และผู้ให้การฝึกอบรมมาตรฐานสากล</w:t>
      </w:r>
    </w:p>
    <w:p>
      <w:r>
        <w:rPr>
          <w:b/>
          <w:bCs/>
          <w:color w:val="1F6F4A"/>
          <w:sz w:val="32"/>
          <w:szCs w:val="32"/>
        </w:rPr>
        <w:t xml:space="preserve">ต้องการขอการรับรอง ISO 9001 หรืออบรมเรื่องนี้?</w:t>
      </w:r>
    </w:p>
    <w:p>
      <w:r>
        <w:rPr>
          <w:b/>
          <w:bCs/>
          <w:sz w:val="28"/>
          <w:szCs w:val="28"/>
        </w:rPr>
        <w:t xml:space="preserve">• ขอการรับรอง ISO 9001 กับ EQA (ขั้นตอนและใบสมัคร)</w:t>
      </w:r>
    </w:p>
    <w:p>
      <w:r>
        <w:rPr>
          <w:color w:val="1D5FA8"/>
          <w:sz w:val="28"/>
          <w:szCs w:val="28"/>
        </w:rPr>
        <w:t xml:space="preserve">   https://eqathaitraining.com/iso-9001/</w:t>
      </w:r>
    </w:p>
    <w:p>
      <w:r>
        <w:rPr>
          <w:b/>
          <w:bCs/>
          <w:sz w:val="28"/>
          <w:szCs w:val="28"/>
        </w:rPr>
        <w:t xml:space="preserve">• หลักสูตรอบรม ISO 9001 (ข้อกำหนด / ตรวจติดตามภายใน)</w:t>
      </w:r>
    </w:p>
    <w:p>
      <w:r>
        <w:rPr>
          <w:color w:val="1D5FA8"/>
          <w:sz w:val="28"/>
          <w:szCs w:val="28"/>
        </w:rPr>
        <w:t xml:space="preserve">   https://eqathaitraining.com/all-courses/?q=9001</w:t>
      </w:r>
    </w:p>
    <w:p>
      <w:r>
        <w:rPr>
          <w:b/>
          <w:bCs/>
          <w:sz w:val="28"/>
          <w:szCs w:val="28"/>
        </w:rPr>
        <w:t xml:space="preserve">• ค่าตรวจรับรอง ISO คิดจากอะไร</w:t>
      </w:r>
    </w:p>
    <w:p>
      <w:r>
        <w:rPr>
          <w:color w:val="1D5FA8"/>
          <w:sz w:val="28"/>
          <w:szCs w:val="28"/>
        </w:rPr>
        <w:t xml:space="preserve">   https://eqathaitraining.com/iso-certification-cost-factors-audit-time/</w:t>
      </w:r>
    </w:p>
    <w:p>
      <w:r>
        <w:rPr>
          <w:b/>
          <w:bCs/>
          <w:sz w:val="28"/>
          <w:szCs w:val="28"/>
        </w:rPr>
        <w:t xml:space="preserve">ติดต่อ EQA Thailand: eqa.training@equalassurancethai.com · โทร 063 187 9718 · https://eqathaitraining.com/contact/</w:t>
      </w:r>
    </w:p>
    <w:p>
      <w:r>
        <w:rPr>
          <w:color w:val="5A6472"/>
          <w:sz w:val="22"/>
          <w:szCs w:val="22"/>
        </w:rPr>
        <w:t xml:space="preserve">เอกสารนี้เป็นตัวอย่างเพื่อการศึกษา ผู้ใช้ควรปรับให้เหมาะกับองค์กรของตนเอง EQA เป็นหน่วยรับรอง (Certification Body) จึงไม่ให้คำปรึกษาในการจัดทำระบบ</w:t>
      </w:r>
    </w:p>
    <w:sectPr>
      <w:headerReference w:type="default" r:id="rId2"/>
      <w:type w:val="nextPage"/>
      <w:pgSz w:w="11906" w:h="16838"/>
      <w:pgMar w:left="1800" w:right="926" w:gutter="0" w:header="720" w:top="776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Angsana New"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ordiaUPC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573" w:type="dxa"/>
      <w:jc w:val="start"/>
      <w:tblInd w:w="-1133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423"/>
      <w:gridCol w:w="3686"/>
      <w:gridCol w:w="3464"/>
    </w:tblGrid>
    <w:tr>
      <w:trPr>
        <w:trHeight w:val="409" w:hRule="atLeast"/>
        <w:cantSplit w:val="true"/>
      </w:trPr>
      <w:tc>
        <w:tcPr>
          <w:tcW w:w="3423" w:type="dxa"/>
          <w:vMerge w:val="restart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er"/>
            <w:jc w:val="center"/>
            <w:rPr>
              <w:b/>
              <w:szCs w:val="24"/>
            </w:rPr>
          </w:pPr>
          <w:r>
            <w:rPr>
              <w:b/>
              <w:szCs w:val="24"/>
              <w:lang w:val="en-US" w:eastAsia="en-US"/>
            </w:rPr>
            <w:drawing>
              <wp:inline distT="0" distB="0" distL="0" distR="0">
                <wp:extent cx="1653540" cy="959485"/>
                <wp:effectExtent l="0" t="0" r="0" b="0"/>
                <wp:docPr id="1" name="Picture 1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22" t="-37" r="-22" b="-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3540" cy="959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jc w:val="center"/>
            <w:rPr>
              <w:b/>
              <w:bCs w:val="false"/>
              <w:sz w:val="36"/>
              <w:szCs w:val="36"/>
            </w:rPr>
          </w:pPr>
          <w:r>
            <w:rPr>
              <w:b/>
              <w:b/>
              <w:szCs w:val="24"/>
            </w:rPr>
            <w:t xml:space="preserve">บริษัท </w:t>
          </w:r>
          <w:r>
            <w:rPr>
              <w:b/>
              <w:b/>
              <w:szCs w:val="24"/>
            </w:rPr>
            <w:t xml:space="preserve">อีควอล แอสชัวแรนซ์ </w:t>
          </w:r>
          <w:r>
            <w:rPr>
              <w:b/>
              <w:szCs w:val="24"/>
            </w:rPr>
            <w:t>(</w:t>
          </w:r>
          <w:r>
            <w:rPr>
              <w:b/>
              <w:b/>
              <w:szCs w:val="24"/>
            </w:rPr>
            <w:t>ประเทศไทย</w:t>
          </w:r>
          <w:r>
            <w:rPr>
              <w:b/>
              <w:szCs w:val="24"/>
            </w:rPr>
            <w:t>)</w:t>
          </w:r>
          <w:r>
            <w:rPr>
              <w:b/>
              <w:szCs w:val="24"/>
            </w:rPr>
            <w:t xml:space="preserve"> </w:t>
          </w:r>
          <w:r>
            <w:rPr>
              <w:b/>
              <w:b/>
              <w:szCs w:val="24"/>
            </w:rPr>
            <w:t>จำกัด</w:t>
          </w:r>
        </w:p>
      </w:tc>
      <w:tc>
        <w:tcPr>
          <w:tcW w:w="7150" w:type="dxa"/>
          <w:gridSpan w:val="2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Heading1"/>
            <w:spacing w:before="0" w:after="60"/>
            <w:ind w:hanging="0" w:start="0"/>
            <w:rPr>
              <w:rFonts w:ascii="Angsana New" w:hAnsi="Angsana New" w:cs="Angsana New"/>
              <w:b w:val="false"/>
              <w:bCs w:val="false"/>
              <w:szCs w:val="32"/>
            </w:rPr>
          </w:pPr>
          <w:r>
            <w:rPr>
              <w:rFonts w:ascii="Angsana New" w:hAnsi="Angsana New" w:cs="Angsana New"/>
              <w:szCs w:val="32"/>
            </w:rPr>
            <w:t>ระเบียบปฏิบัติเรื่อง</w:t>
          </w:r>
          <w:r>
            <w:rPr>
              <w:rFonts w:ascii="Angsana New" w:hAnsi="Angsana New" w:cs="Angsana New"/>
              <w:b w:val="false"/>
              <w:b w:val="false"/>
              <w:bCs w:val="false"/>
              <w:szCs w:val="32"/>
            </w:rPr>
            <w:t xml:space="preserve">  การควบคุมวัตถุดิบ สินค้าและจัดส่ง</w:t>
          </w:r>
        </w:p>
      </w:tc>
    </w:tr>
    <w:tr>
      <w:trPr>
        <w:trHeight w:val="307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ascii="Angsana New" w:hAnsi="Angsana New" w:eastAsia="Angsana New" w:cs="Angsana New"/>
              <w:b w:val="false"/>
              <w:bCs w:val="false"/>
              <w:szCs w:val="32"/>
            </w:rPr>
          </w:pPr>
          <w:r>
            <w:rPr>
              <w:rFonts w:eastAsia="Angsana New" w:cs="Angsana New"/>
              <w:b w:val="false"/>
              <w:bCs w:val="false"/>
              <w:szCs w:val="32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เอกสารเลขที่     </w:t>
          </w:r>
          <w:r>
            <w:rPr>
              <w:rFonts w:eastAsia="Angsana New"/>
            </w:rPr>
            <w:t>:  QP</w:t>
          </w:r>
          <w:r>
            <w:rPr>
              <w:rFonts w:eastAsia="Angsana New"/>
              <w:lang w:val="en-US"/>
            </w:rPr>
            <w:t>-WH</w:t>
          </w:r>
          <w:r>
            <w:rPr>
              <w:rFonts w:eastAsia="Angsana New"/>
            </w:rPr>
            <w:t>-01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bCs w:val="false"/>
            </w:rPr>
          </w:pPr>
          <w:r>
            <w:rPr>
              <w:rFonts w:eastAsia="Angsana New"/>
            </w:rPr>
            <w:t xml:space="preserve">หน้าที่          </w:t>
          </w:r>
          <w:r>
            <w:rPr>
              <w:rFonts w:eastAsia="Angsana New"/>
            </w:rPr>
            <w:t xml:space="preserve">:      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</w:rPr>
            <w:t>6</w:t>
          </w:r>
          <w:r>
            <w:rPr>
              <w:rStyle w:val="PageNumber"/>
            </w:rPr>
            <w:fldChar w:fldCharType="end"/>
          </w:r>
        </w:p>
      </w:tc>
    </w:tr>
    <w:tr>
      <w:trPr>
        <w:trHeight w:val="330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eastAsia="Angsana New"/>
              <w:bCs w:val="false"/>
            </w:rPr>
          </w:pPr>
          <w:r>
            <w:rPr>
              <w:rFonts w:eastAsia="Angsana New"/>
              <w:bCs w:val="false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วันที่เริ่มใช้        </w:t>
          </w:r>
          <w:r>
            <w:rPr>
              <w:rFonts w:eastAsia="Angsana New"/>
            </w:rPr>
            <w:t xml:space="preserve">: </w:t>
          </w:r>
          <w:r>
            <w:rPr>
              <w:rFonts w:eastAsia="Angsana New" w:cs="Calibri" w:ascii="Calibri" w:hAnsi="Calibri"/>
            </w:rPr>
            <w:t xml:space="preserve"> </w:t>
          </w:r>
          <w:r>
            <w:rPr>
              <w:rFonts w:eastAsia="Angsana New"/>
            </w:rPr>
            <w:t xml:space="preserve">1 </w:t>
          </w:r>
          <w:r>
            <w:rPr>
              <w:rFonts w:eastAsia="Angsana New"/>
            </w:rPr>
            <w:t xml:space="preserve">มกราคม </w:t>
          </w:r>
          <w:r>
            <w:rPr>
              <w:rFonts w:eastAsia="Angsana New"/>
            </w:rPr>
            <w:t>2564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แก้ไขครั้งที่   </w:t>
          </w:r>
          <w:r>
            <w:rPr>
              <w:rFonts w:eastAsia="Angsana New"/>
            </w:rPr>
            <w:t>:       0</w:t>
          </w:r>
        </w:p>
      </w:tc>
    </w:tr>
    <w:tr>
      <w:trPr>
        <w:trHeight w:val="331" w:hRule="atLeast"/>
        <w:cantSplit w:val="true"/>
      </w:trPr>
      <w:tc>
        <w:tcPr>
          <w:tcW w:w="3423" w:type="dxa"/>
          <w:vMerge w:val="continue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snapToGrid w:val="false"/>
            <w:rPr>
              <w:rFonts w:eastAsia="Angsana New"/>
              <w:bCs w:val="false"/>
            </w:rPr>
          </w:pPr>
          <w:r>
            <w:rPr>
              <w:rFonts w:eastAsia="Angsana New"/>
              <w:bCs w:val="false"/>
            </w:rPr>
          </w:r>
        </w:p>
      </w:tc>
      <w:tc>
        <w:tcPr>
          <w:tcW w:w="3686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ทบทวนโดย      </w:t>
          </w:r>
          <w:r>
            <w:rPr>
              <w:rFonts w:eastAsia="Angsana New"/>
            </w:rPr>
            <w:t>:</w:t>
          </w:r>
          <w:r>
            <w:rPr>
              <w:rFonts w:eastAsia="Angsana New"/>
            </w:rPr>
            <w:t xml:space="preserve"> </w:t>
          </w:r>
          <w:r>
            <w:rPr>
              <w:rFonts w:eastAsia="Angsana New"/>
              <w:b/>
              <w:b/>
            </w:rPr>
            <w:t>ขยัน  เจริญยิ่ง</w:t>
          </w:r>
        </w:p>
      </w:tc>
      <w:tc>
        <w:tcPr>
          <w:tcW w:w="3464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</w:tcPr>
        <w:p>
          <w:pPr>
            <w:pStyle w:val="Normal"/>
            <w:rPr>
              <w:rFonts w:eastAsia="Angsana New"/>
              <w:bCs w:val="false"/>
            </w:rPr>
          </w:pPr>
          <w:r>
            <w:rPr>
              <w:rFonts w:eastAsia="Angsana New"/>
            </w:rPr>
            <w:t xml:space="preserve">อนุมัติโดย   </w:t>
          </w:r>
          <w:r>
            <w:rPr>
              <w:rFonts w:eastAsia="Angsana New"/>
            </w:rPr>
            <w:t xml:space="preserve"> </w:t>
          </w:r>
          <w:r>
            <w:rPr>
              <w:rFonts w:eastAsia="Angsana New"/>
            </w:rPr>
            <w:t>:</w:t>
          </w:r>
          <w:r>
            <w:rPr>
              <w:rFonts w:eastAsia="Angsana New"/>
            </w:rPr>
            <w:t xml:space="preserve"> </w:t>
          </w:r>
          <w:r>
            <w:rPr/>
            <w:t>มานะ</w:t>
          </w:r>
          <w:r>
            <w:rPr/>
            <w:t xml:space="preserve">  เจริญยิ่ง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ngsana New" w:hAnsi="Angsana New" w:eastAsia="MS Mincho;ＭＳ 明朝" w:cs="Angsana New"/>
      <w:bCs/>
      <w:color w:val="auto"/>
      <w:sz w:val="32"/>
      <w:szCs w:val="32"/>
      <w:lang w:val="en-GB" w:eastAsia="ja-JP" w:bidi="th-TH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kern w:val="2"/>
      <w:szCs w:val="4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Cordia New"/>
      <w:b/>
      <w:i/>
      <w:iCs/>
      <w:sz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/>
      <w:sz w:val="28"/>
    </w:rPr>
  </w:style>
  <w:style w:type="character" w:styleId="DefaultParagraphFont">
    <w:name w:val="Default Paragraph Font"/>
    <w:qFormat/>
    <w:rPr/>
  </w:style>
  <w:style w:type="character" w:styleId="PageNumber">
    <w:name w:val="Page Number"/>
    <w:basedOn w:val="DefaultParagraphFont"/>
    <w:rPr/>
  </w:style>
  <w:style w:type="character" w:styleId="HeaderChar">
    <w:name w:val="Header Char"/>
    <w:qFormat/>
    <w:rPr>
      <w:rFonts w:ascii="Angsana New" w:hAnsi="Angsana New" w:cs="Angsana New"/>
      <w:bCs/>
      <w:sz w:val="32"/>
      <w:szCs w:val="37"/>
      <w:lang w:val="en-GB" w:eastAsia="ja-JP"/>
    </w:rPr>
  </w:style>
  <w:style w:type="character" w:styleId="SubtitleChar">
    <w:name w:val="Subtitle Char"/>
    <w:qFormat/>
    <w:rPr>
      <w:rFonts w:ascii="Cambria" w:hAnsi="Cambria" w:eastAsia="Times New Roman" w:cs="Angsana New"/>
      <w:bCs/>
      <w:sz w:val="24"/>
      <w:szCs w:val="30"/>
      <w:lang w:val="en-GB" w:eastAsia="ja-JP"/>
    </w:rPr>
  </w:style>
  <w:style w:type="character" w:styleId="Heading1Char">
    <w:name w:val="Heading 1 Char"/>
    <w:qFormat/>
    <w:rPr>
      <w:rFonts w:ascii="Cambria" w:hAnsi="Cambria" w:eastAsia="Times New Roman" w:cs="Cambria"/>
      <w:b/>
      <w:bCs/>
      <w:kern w:val="2"/>
      <w:sz w:val="32"/>
      <w:szCs w:val="40"/>
      <w:lang w:val="en-GB" w:eastAsia="ja-JP"/>
    </w:rPr>
  </w:style>
  <w:style w:type="character" w:styleId="TitleChar">
    <w:name w:val="Title Char"/>
    <w:qFormat/>
    <w:rPr>
      <w:rFonts w:ascii="CordiaUPC" w:hAnsi="CordiaUPC" w:eastAsia="Cordia New" w:cs="CordiaUPC"/>
      <w:b/>
      <w:bCs/>
      <w:sz w:val="32"/>
      <w:szCs w:val="32"/>
    </w:rPr>
  </w:style>
  <w:style w:type="character" w:styleId="XXChar">
    <w:name w:val="X.X Char"/>
    <w:qFormat/>
    <w:rPr>
      <w:rFonts w:ascii="Angsana New" w:hAnsi="Angsana New" w:cs="Angsana New"/>
      <w:sz w:val="28"/>
      <w:szCs w:val="32"/>
      <w:lang w:eastAsia="ja-JP"/>
    </w:rPr>
  </w:style>
  <w:style w:type="paragraph" w:styleId="Heading">
    <w:name w:val="Heading"/>
    <w:basedOn w:val="Normal"/>
    <w:next w:val="BodyText"/>
    <w:qFormat/>
    <w:pPr>
      <w:jc w:val="center"/>
    </w:pPr>
    <w:rPr>
      <w:rFonts w:ascii="CordiaUPC" w:hAnsi="CordiaUPC" w:eastAsia="Cordia New" w:cs="CordiaUPC"/>
      <w:b/>
      <w:lang w:val="en-US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Cs w:val="37"/>
    </w:rPr>
  </w:style>
  <w:style w:type="paragraph" w:styleId="Subtitle">
    <w:name w:val="Subtitle"/>
    <w:basedOn w:val="Normal"/>
    <w:next w:val="Normal"/>
    <w:qFormat/>
    <w:pPr>
      <w:spacing w:before="0" w:after="60"/>
      <w:jc w:val="center"/>
      <w:outlineLvl w:val="1"/>
    </w:pPr>
    <w:rPr>
      <w:rFonts w:ascii="Cambria" w:hAnsi="Cambria" w:eastAsia="Times New Roman" w:cs="Angsana New"/>
      <w:sz w:val="24"/>
      <w:szCs w:val="30"/>
    </w:rPr>
  </w:style>
  <w:style w:type="paragraph" w:styleId="NoSpacing">
    <w:name w:val="No Spacing"/>
    <w:qFormat/>
    <w:pPr>
      <w:widowControl/>
      <w:bidi w:val="0"/>
    </w:pPr>
    <w:rPr>
      <w:rFonts w:ascii="Calibri" w:hAnsi="Calibri" w:eastAsia="Calibri" w:cs="Cordia New"/>
      <w:color w:val="auto"/>
      <w:sz w:val="22"/>
      <w:szCs w:val="28"/>
      <w:lang w:val="en-US" w:bidi="th-TH" w:eastAsia="zh-CN"/>
    </w:rPr>
  </w:style>
  <w:style w:type="paragraph" w:styleId="XX">
    <w:name w:val="X.X"/>
    <w:basedOn w:val="Normal"/>
    <w:qFormat/>
    <w:pPr>
      <w:tabs>
        <w:tab w:val="clear" w:pos="720"/>
        <w:tab w:val="left" w:pos="426" w:leader="none"/>
      </w:tabs>
      <w:ind w:hanging="360" w:start="-180" w:end="0"/>
    </w:pPr>
    <w:rPr>
      <w:bCs w:val="false"/>
      <w:sz w:val="28"/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2015-02-06T04:23:00Z</dcterms:created>
  <dc:creator>Administrator</dc:creator>
  <dc:description/>
  <cp:keywords/>
  <dc:language>en-US</dc:language>
  <cp:lastModifiedBy>Jeerasak Muangchin</cp:lastModifiedBy>
  <dcterms:modified xsi:type="dcterms:W3CDTF">2021-10-28T15:02:00Z</dcterms:modified>
  <cp:revision>79</cp:revision>
  <dc:subject/>
  <dc:title>1</dc:title>
</cp:coreProperties>
</file>